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2993" w14:textId="77777777" w:rsidR="00D47D20" w:rsidRDefault="00000000">
      <w:pPr>
        <w:pStyle w:val="Heading1"/>
      </w:pPr>
      <w:bookmarkStart w:id="0" w:name="mrc-lecture-4-derivation-guide-3"/>
      <w:r>
        <w:t>MRC Lecture 4 — Derivation Guide 3</w:t>
      </w:r>
    </w:p>
    <w:p w14:paraId="7569DF0A" w14:textId="77777777" w:rsidR="00D47D20" w:rsidRDefault="00000000">
      <w:pPr>
        <w:pStyle w:val="Heading1"/>
      </w:pPr>
      <w:bookmarkStart w:id="1" w:name="competitive-binding-softmax-the-identity"/>
      <w:bookmarkEnd w:id="0"/>
      <w:r>
        <w:t>Competitive Binding = Softmax: The Identity</w:t>
      </w:r>
    </w:p>
    <w:p w14:paraId="799E7F63" w14:textId="77777777" w:rsidR="00D47D20" w:rsidRDefault="00000000">
      <w:r>
        <w:t>Sai T. Reddy — ETH Zurich / BIIE</w:t>
      </w:r>
    </w:p>
    <w:p w14:paraId="5089E370" w14:textId="77777777" w:rsidR="00D47D20" w:rsidRDefault="00BA4A0C">
      <w:r>
        <w:rPr>
          <w:noProof/>
        </w:rPr>
      </w:r>
      <w:r>
        <w:pict w14:anchorId="61148F7D">
          <v:rect id="Horizontal Line 1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E71DDF" w14:textId="77777777" w:rsidR="00D47D20" w:rsidRDefault="00000000">
      <w:pPr>
        <w:pStyle w:val="Heading2"/>
      </w:pPr>
      <w:bookmarkStart w:id="2" w:name="motivation"/>
      <w:r>
        <w:t>1. Motivation</w:t>
      </w:r>
    </w:p>
    <w:p w14:paraId="4171DA37" w14:textId="77777777" w:rsidR="00D47D20" w:rsidRDefault="00000000">
      <w:r>
        <w:t xml:space="preserve">This is the central derivation of Lecture 4 and the </w:t>
      </w:r>
      <w:r>
        <w:rPr>
          <w:b/>
          <w:bCs/>
        </w:rPr>
        <w:t>identity moment</w:t>
      </w:r>
      <w:r>
        <w:t xml:space="preserve"> of the course. We started Lecture 1 by asking: given a vector of scores, how do we convert them to a probability distribution? The answer was softmax. We now arrive at the same question from biophysics: given a pool of candidate targets with different binding energies, what is the probability that an agent molecule selects each one? The answer is the Boltzmann distribution — which IS softmax.</w:t>
      </w:r>
    </w:p>
    <w:p w14:paraId="47CD4087" w14:textId="77777777" w:rsidR="00D47D20" w:rsidRDefault="00000000">
      <w:r>
        <w:t>This guide derives competitive binding from the Boltzmann distribution, writes the result next to the transformer attention equation, and demonstrates with a numerical example that they are the same mathematical object. The identity is visible here but not yet proven unique — that proof comes in Lecture 6.</w:t>
      </w:r>
    </w:p>
    <w:p w14:paraId="28315F00" w14:textId="77777777" w:rsidR="00D47D20" w:rsidRDefault="00BA4A0C">
      <w:r>
        <w:rPr>
          <w:noProof/>
        </w:rPr>
      </w:r>
      <w:r>
        <w:pict w14:anchorId="599F3E0D">
          <v:rect id="Horizontal Line 2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164251" w14:textId="77777777" w:rsidR="00D47D20" w:rsidRDefault="00000000">
      <w:pPr>
        <w:pStyle w:val="Heading2"/>
      </w:pPr>
      <w:bookmarkStart w:id="3" w:name="the-competitive-selection-scenario"/>
      <w:bookmarkEnd w:id="2"/>
      <w:r>
        <w:t>2. The Competitive Selection Scenario</w:t>
      </w:r>
    </w:p>
    <w:p w14:paraId="35FAE38F" w14:textId="77777777" w:rsidR="00D47D20" w:rsidRDefault="00000000">
      <w:r>
        <w:rPr>
          <w:b/>
          <w:bCs/>
        </w:rPr>
        <w:t>Physical setup.</w:t>
      </w:r>
      <w:r>
        <w:t xml:space="preserve"> An agent molecule A (antibody, enzyme, transcription factor, CRISPR guide) encounters a pool of </w:t>
      </w:r>
      <m:oMath>
        <m:r>
          <w:rPr>
            <w:rFonts w:ascii="Cambria Math" w:hAnsi="Cambria Math"/>
          </w:rPr>
          <m:t>M</m:t>
        </m:r>
      </m:oMath>
      <w:r>
        <w:t xml:space="preserve"> candidate targets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(antigens, substrates, DNA sites). Each pair has a binding free energy:</w:t>
      </w:r>
    </w:p>
    <w:p w14:paraId="74F8BF62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05D31C06" w14:textId="77777777" w:rsidR="00D47D20" w:rsidRDefault="00000000">
      <w:r>
        <w:t xml:space="preserve">More negative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= stronger binding of agent A to target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0EE6CA9B" w14:textId="77777777" w:rsidR="00D47D20" w:rsidRDefault="00000000">
      <w:r>
        <w:rPr>
          <w:b/>
          <w:bCs/>
        </w:rPr>
        <w:t>Question.</w:t>
      </w:r>
      <w:r>
        <w:t xml:space="preserve"> At thermal equilibrium with all candidates present, what is the probability that agent A binds target </w:t>
      </w:r>
      <m:oMath>
        <m:r>
          <w:rPr>
            <w:rFonts w:ascii="Cambria Math" w:hAnsi="Cambria Math"/>
          </w:rPr>
          <m:t>j</m:t>
        </m:r>
      </m:oMath>
      <w:r>
        <w:t>?</w:t>
      </w:r>
    </w:p>
    <w:p w14:paraId="46F7472B" w14:textId="77777777" w:rsidR="00D47D20" w:rsidRDefault="00000000">
      <w:r>
        <w:rPr>
          <w:b/>
          <w:bCs/>
        </w:rPr>
        <w:t>Assumption.</w:t>
      </w:r>
      <w:r>
        <w:t xml:space="preserve"> The agent can bind only one target at a time (mutual exclusion), and binding events occur at thermal equilibrium. These assumptions are standard for molecular recognition at the concentration regime where agents are scarce relative to targets — the biologically relevant regime for most recognition systems.</w:t>
      </w:r>
    </w:p>
    <w:p w14:paraId="17721291" w14:textId="77777777" w:rsidR="00D47D20" w:rsidRDefault="00BA4A0C">
      <w:r>
        <w:rPr>
          <w:noProof/>
        </w:rPr>
      </w:r>
      <w:r>
        <w:pict w14:anchorId="26FC587E">
          <v:rect id="Horizontal Line 3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3F0544" w14:textId="77777777" w:rsidR="00D47D20" w:rsidRDefault="00000000">
      <w:pPr>
        <w:pStyle w:val="Heading2"/>
      </w:pPr>
      <w:bookmarkStart w:id="4" w:name="applying-the-boltzmann-distribution"/>
      <w:bookmarkEnd w:id="3"/>
      <w:r>
        <w:t>3. Applying the Boltzmann Distribution</w:t>
      </w:r>
    </w:p>
    <w:p w14:paraId="22B9CB36" w14:textId="77777777" w:rsidR="00D47D20" w:rsidRDefault="00000000">
      <w:r>
        <w:t xml:space="preserve">The candidate states are “A bound to target 1”, “A bound to target 2”, …, “A bound to target M”. Each state has energy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 From the Boltzmann distribution (Derivation Guide 1):</w:t>
      </w:r>
    </w:p>
    <w:p w14:paraId="4CB5915C" w14:textId="77777777" w:rsidR="00D47D20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nor/>
                    </m:rPr>
                    <m:t xml:space="preserve"> binds 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RT</m:t>
                      </m:r>
                    </m:e>
                  </m:d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RT</m:t>
                      </m:r>
                    </m:e>
                  </m:d>
                </m:den>
              </m:f>
            </m:e>
          </m:borderBox>
        </m:oMath>
      </m:oMathPara>
    </w:p>
    <w:p w14:paraId="6C965FD8" w14:textId="77777777" w:rsidR="00D47D20" w:rsidRDefault="00000000">
      <w:r>
        <w:rPr>
          <w:b/>
          <w:bCs/>
        </w:rPr>
        <w:t>Interpretation.</w:t>
      </w:r>
    </w:p>
    <w:p w14:paraId="5FE7D11C" w14:textId="77777777" w:rsidR="00D47D20" w:rsidRDefault="00000000">
      <w:pPr>
        <w:numPr>
          <w:ilvl w:val="0"/>
          <w:numId w:val="3"/>
        </w:numPr>
      </w:pPr>
      <w:r>
        <w:rPr>
          <w:b/>
          <w:bCs/>
        </w:rPr>
        <w:t>Numerator:</w:t>
      </w:r>
      <w:r>
        <w:t xml:space="preserve"> the Boltzmann factor for binding to target </w:t>
      </w:r>
      <m:oMath>
        <m:r>
          <w:rPr>
            <w:rFonts w:ascii="Cambria Math" w:hAnsi="Cambria Math"/>
          </w:rPr>
          <m:t>j</m:t>
        </m:r>
      </m:oMath>
      <w:r>
        <w:t xml:space="preserve">. Higher affinity (more negative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) → larger numerator.</w:t>
      </w:r>
    </w:p>
    <w:p w14:paraId="5B4E11BC" w14:textId="77777777" w:rsidR="00D47D20" w:rsidRDefault="00000000">
      <w:pPr>
        <w:numPr>
          <w:ilvl w:val="0"/>
          <w:numId w:val="3"/>
        </w:numPr>
      </w:pPr>
      <w:r>
        <w:rPr>
          <w:b/>
          <w:bCs/>
        </w:rPr>
        <w:t>Denominator:</w:t>
      </w:r>
      <w:r>
        <w:t xml:space="preserve"> the partition function </w:t>
      </w:r>
      <m:oMath>
        <m:r>
          <w:rPr>
            <w:rFonts w:ascii="Cambria Math" w:hAnsi="Cambria Math"/>
          </w:rPr>
          <m:t>Z</m:t>
        </m:r>
      </m:oMath>
      <w:r>
        <w:t xml:space="preserve"> over all candidate targets. This sums over the </w:t>
      </w:r>
      <w:r>
        <w:rPr>
          <w:b/>
          <w:bCs/>
        </w:rPr>
        <w:t>entire competitor pool</w:t>
      </w:r>
      <w:r>
        <w:t>.</w:t>
      </w:r>
    </w:p>
    <w:p w14:paraId="5D0B4F15" w14:textId="77777777" w:rsidR="00D47D20" w:rsidRDefault="00000000">
      <w:pPr>
        <w:numPr>
          <w:ilvl w:val="0"/>
          <w:numId w:val="3"/>
        </w:numPr>
      </w:pPr>
      <w:r>
        <w:rPr>
          <w:b/>
          <w:bCs/>
        </w:rPr>
        <w:t>Ratio:</w:t>
      </w:r>
      <w:r>
        <w:t xml:space="preserve"> the probability that the agent selects target </w:t>
      </w:r>
      <m:oMath>
        <m:r>
          <w:rPr>
            <w:rFonts w:ascii="Cambria Math" w:hAnsi="Cambria Math"/>
          </w:rPr>
          <m:t>j</m:t>
        </m:r>
      </m:oMath>
      <w:r>
        <w:t xml:space="preserve"> rather than any of the alternatives.</w:t>
      </w:r>
    </w:p>
    <w:p w14:paraId="15E5C727" w14:textId="77777777" w:rsidR="00D47D20" w:rsidRDefault="00000000">
      <w:r>
        <w:rPr>
          <w:b/>
          <w:bCs/>
        </w:rPr>
        <w:t>Why the denominator matters.</w:t>
      </w:r>
      <w:r>
        <w:t xml:space="preserve"> The probability of binding target </w:t>
      </w:r>
      <m:oMath>
        <m:r>
          <w:rPr>
            <w:rFonts w:ascii="Cambria Math" w:hAnsi="Cambria Math"/>
          </w:rPr>
          <m:t>j</m:t>
        </m:r>
      </m:oMath>
      <w:r>
        <w:t xml:space="preserve"> depends not only on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but also on the full set of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values. A high-affinity target becomes less competitive when stronger competitors are present. This is the </w:t>
      </w:r>
      <w:r>
        <w:rPr>
          <w:b/>
          <w:bCs/>
        </w:rPr>
        <w:t>competitive</w:t>
      </w:r>
      <w:r>
        <w:t xml:space="preserve"> nature of molecular recognition — and it is captured precisely by the partition function in the denominator.</w:t>
      </w:r>
    </w:p>
    <w:p w14:paraId="2B15D393" w14:textId="77777777" w:rsidR="00D47D20" w:rsidRDefault="00BA4A0C">
      <w:r>
        <w:rPr>
          <w:noProof/>
        </w:rPr>
      </w:r>
      <w:r>
        <w:pict w14:anchorId="2FCB9A22">
          <v:rect id="Horizontal Line 4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626EE9" w14:textId="77777777" w:rsidR="00D47D20" w:rsidRDefault="00000000">
      <w:pPr>
        <w:pStyle w:val="Heading2"/>
      </w:pPr>
      <w:bookmarkStart w:id="5" w:name="change-of-variables-from-energy-to-score"/>
      <w:bookmarkEnd w:id="4"/>
      <w:r>
        <w:lastRenderedPageBreak/>
        <w:t>4. Change of Variables: From Energy to Score</w:t>
      </w:r>
    </w:p>
    <w:p w14:paraId="7E45EFE7" w14:textId="77777777" w:rsidR="00D47D20" w:rsidRDefault="00000000">
      <w:r>
        <w:t xml:space="preserve">Define the </w:t>
      </w:r>
      <w:r>
        <w:rPr>
          <w:b/>
          <w:bCs/>
        </w:rPr>
        <w:t>dimensionless compatibility score</w:t>
      </w:r>
      <w:r>
        <w:t>:</w:t>
      </w:r>
    </w:p>
    <w:p w14:paraId="5C117C82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</m:oMath>
      </m:oMathPara>
    </w:p>
    <w:p w14:paraId="25E2705A" w14:textId="77777777" w:rsidR="00D47D20" w:rsidRDefault="00000000">
      <w:r>
        <w:t xml:space="preserve">This is the negated binding energy in units of the thermal energy </w:t>
      </w:r>
      <m:oMath>
        <m:r>
          <w:rPr>
            <w:rFonts w:ascii="Cambria Math" w:hAnsi="Cambria Math"/>
          </w:rPr>
          <m:t>RT</m:t>
        </m:r>
      </m:oMath>
      <w:r>
        <w:t>. Interpretation:</w:t>
      </w:r>
    </w:p>
    <w:p w14:paraId="7AFD0076" w14:textId="77777777" w:rsidR="00D47D20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when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(favorable binding)</w:t>
      </w:r>
    </w:p>
    <w:p w14:paraId="5707B1EA" w14:textId="77777777" w:rsidR="00D47D20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when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(unfavorable binding)</w:t>
      </w:r>
    </w:p>
    <w:p w14:paraId="5D41525F" w14:textId="77777777" w:rsidR="00D47D20" w:rsidRDefault="00000000">
      <w:pPr>
        <w:numPr>
          <w:ilvl w:val="0"/>
          <w:numId w:val="4"/>
        </w:numPr>
      </w:pPr>
      <w:r>
        <w:t xml:space="preserve">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= better compatibility between agent and target </w:t>
      </w:r>
      <m:oMath>
        <m:r>
          <w:rPr>
            <w:rFonts w:ascii="Cambria Math" w:hAnsi="Cambria Math"/>
          </w:rPr>
          <m:t>j</m:t>
        </m:r>
      </m:oMath>
    </w:p>
    <w:p w14:paraId="2E01E3B9" w14:textId="77777777" w:rsidR="00D47D20" w:rsidRDefault="00000000">
      <w:r>
        <w:t>Substituting into the Boltzmann distribution:</w:t>
      </w:r>
    </w:p>
    <w:p w14:paraId="198A088D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m:t xml:space="preserve"> binds </m:t>
              </m:r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</m:oMath>
      </m:oMathPara>
    </w:p>
    <w:p w14:paraId="5F76C29E" w14:textId="77777777" w:rsidR="00D47D20" w:rsidRDefault="00000000">
      <w:r>
        <w:rPr>
          <w:b/>
          <w:bCs/>
        </w:rPr>
        <w:t>This IS softmax:</w:t>
      </w:r>
    </w:p>
    <w:p w14:paraId="6A15067B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m:t xml:space="preserve"> binds </m:t>
              </m:r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43A689C7" w14:textId="77777777" w:rsidR="00D47D20" w:rsidRDefault="00000000">
      <w:r>
        <w:t xml:space="preserve">where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 is the vector of dimensionless compatibility scores.</w:t>
      </w:r>
    </w:p>
    <w:p w14:paraId="6700831D" w14:textId="77777777" w:rsidR="00D47D20" w:rsidRDefault="00BA4A0C">
      <w:r>
        <w:rPr>
          <w:noProof/>
        </w:rPr>
      </w:r>
      <w:r>
        <w:pict w14:anchorId="75C9FD66">
          <v:rect id="Horizontal Line 5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B2D7FD" w14:textId="77777777" w:rsidR="00D47D20" w:rsidRDefault="00000000">
      <w:pPr>
        <w:pStyle w:val="Heading2"/>
      </w:pPr>
      <w:bookmarkStart w:id="6" w:name="the-identity-with-transformer-attention"/>
      <w:bookmarkEnd w:id="5"/>
      <w:r>
        <w:t>5. The Identity with Transformer Attention</w:t>
      </w:r>
    </w:p>
    <w:p w14:paraId="7D14C053" w14:textId="77777777" w:rsidR="00D47D20" w:rsidRDefault="00000000">
      <w:r>
        <w:t xml:space="preserve">The transformer attention equation (Lecture 2, Derivation Guide 2) for the attention weight from query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 xml:space="preserve"> to key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:</w:t>
      </w:r>
    </w:p>
    <w:p w14:paraId="202331EE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den>
          </m:f>
        </m:oMath>
      </m:oMathPara>
    </w:p>
    <w:p w14:paraId="013F4205" w14:textId="77777777" w:rsidR="00D47D20" w:rsidRDefault="00000000">
      <w:r>
        <w:t xml:space="preserve">where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 in standard transformers (Vaswani et al., 2017).</w:t>
      </w:r>
    </w:p>
    <w:p w14:paraId="72D46306" w14:textId="77777777" w:rsidR="00D47D20" w:rsidRDefault="00000000">
      <w:r>
        <w:rPr>
          <w:b/>
          <w:bCs/>
        </w:rPr>
        <w:t>Writing both equations side by side: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4444"/>
        <w:gridCol w:w="4572"/>
      </w:tblGrid>
      <w:tr w:rsidR="00D47D20" w14:paraId="6067D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8E7D9A3" w14:textId="77777777" w:rsidR="00D47D20" w:rsidRDefault="00000000">
            <w:r>
              <w:t>Molecular binding (Boltzmann, 1877)</w:t>
            </w:r>
          </w:p>
        </w:tc>
        <w:tc>
          <w:tcPr>
            <w:tcW w:w="0" w:type="auto"/>
          </w:tcPr>
          <w:p w14:paraId="51951C34" w14:textId="77777777" w:rsidR="00D47D20" w:rsidRDefault="00000000">
            <w:r>
              <w:t>Transformer attention (Vaswani, 2017)</w:t>
            </w:r>
          </w:p>
        </w:tc>
      </w:tr>
      <w:tr w:rsidR="00D47D20" w14:paraId="1F5B8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9CBDA7" w14:textId="77777777" w:rsidR="00D47D20" w:rsidRDefault="00000000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nor/>
                      </m:rPr>
                      <m:t xml:space="preserve"> binds 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RT</m:t>
                        </m:r>
                      </m:e>
                    </m:d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RT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0" w:type="auto"/>
          </w:tcPr>
          <w:p w14:paraId="3A245848" w14:textId="77777777" w:rsidR="00D47D2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d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d>
                  </m:den>
                </m:f>
              </m:oMath>
            </m:oMathPara>
          </w:p>
        </w:tc>
      </w:tr>
    </w:tbl>
    <w:p w14:paraId="1551BBC8" w14:textId="77777777" w:rsidR="00D47D20" w:rsidRDefault="00000000">
      <w:r>
        <w:rPr>
          <w:b/>
          <w:bCs/>
        </w:rPr>
        <w:t>Under the identification:</w:t>
      </w:r>
    </w:p>
    <w:p w14:paraId="7B9DA5EB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14:paraId="69F32666" w14:textId="77777777" w:rsidR="00D47D20" w:rsidRDefault="00000000">
      <w:r>
        <w:rPr>
          <w:b/>
          <w:bCs/>
        </w:rPr>
        <w:t>These are the same equation.</w:t>
      </w:r>
    </w:p>
    <w:p w14:paraId="301504D3" w14:textId="77777777" w:rsidR="00D47D20" w:rsidRDefault="00000000">
      <w:pPr>
        <w:numPr>
          <w:ilvl w:val="0"/>
          <w:numId w:val="5"/>
        </w:numPr>
      </w:pPr>
      <w:r>
        <w:t xml:space="preserve">The dot product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maps to the negated binding energy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14:paraId="3166F077" w14:textId="77777777" w:rsidR="00D47D20" w:rsidRDefault="00000000">
      <w:pPr>
        <w:numPr>
          <w:ilvl w:val="0"/>
          <w:numId w:val="5"/>
        </w:numPr>
      </w:pPr>
      <w:r>
        <w:t xml:space="preserve">The attention temperature </w:t>
      </w:r>
      <m:oMath>
        <m:r>
          <w:rPr>
            <w:rFonts w:ascii="Cambria Math" w:hAnsi="Cambria Math"/>
          </w:rPr>
          <m:t>τ</m:t>
        </m:r>
      </m:oMath>
      <w:r>
        <w:t xml:space="preserve"> maps to the thermal energy </w:t>
      </w:r>
      <m:oMath>
        <m:r>
          <w:rPr>
            <w:rFonts w:ascii="Cambria Math" w:hAnsi="Cambria Math"/>
          </w:rPr>
          <m:t>RT</m:t>
        </m:r>
      </m:oMath>
      <w:r>
        <w:t>.</w:t>
      </w:r>
    </w:p>
    <w:p w14:paraId="5523C897" w14:textId="77777777" w:rsidR="00D47D20" w:rsidRDefault="00000000">
      <w:pPr>
        <w:numPr>
          <w:ilvl w:val="0"/>
          <w:numId w:val="5"/>
        </w:numPr>
      </w:pPr>
      <w:r>
        <w:t xml:space="preserve">The attention 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maps to the Boltzmann selection probability.</w:t>
      </w:r>
    </w:p>
    <w:p w14:paraId="58D32E02" w14:textId="77777777" w:rsidR="00D47D20" w:rsidRDefault="00000000">
      <w:pPr>
        <w:numPr>
          <w:ilvl w:val="0"/>
          <w:numId w:val="5"/>
        </w:numPr>
      </w:pPr>
      <w:r>
        <w:t>The softmax denominator maps to the partition function.</w:t>
      </w:r>
    </w:p>
    <w:p w14:paraId="3898E4CF" w14:textId="77777777" w:rsidR="00D47D20" w:rsidRDefault="00000000">
      <w:r>
        <w:rPr>
          <w:b/>
          <w:bCs/>
        </w:rPr>
        <w:t>What this means.</w:t>
      </w:r>
      <w:r>
        <w:t xml:space="preserve"> What molecular biology calls a </w:t>
      </w:r>
      <w:r>
        <w:rPr>
          <w:i/>
          <w:iCs/>
        </w:rPr>
        <w:t>binding probability</w:t>
      </w:r>
      <w:r>
        <w:t xml:space="preserve"> and what machine learning calls an </w:t>
      </w:r>
      <w:r>
        <w:rPr>
          <w:i/>
          <w:iCs/>
        </w:rPr>
        <w:t>attention weight</w:t>
      </w:r>
      <w:r>
        <w:t xml:space="preserve"> are the same mathematical object. The transformer attention mechanism — the core operation of modern AI — is the Boltzmann distribution applied to molecular compatibility scores.</w:t>
      </w:r>
    </w:p>
    <w:p w14:paraId="5C8EAA1F" w14:textId="77777777" w:rsidR="00D47D20" w:rsidRDefault="00000000">
      <w:r>
        <w:t xml:space="preserve">Lecture 6 will prove this is the </w:t>
      </w:r>
      <w:r>
        <w:rPr>
          <w:b/>
          <w:bCs/>
        </w:rPr>
        <w:t>unique</w:t>
      </w:r>
      <w:r>
        <w:t xml:space="preserve"> function satisfying five axioms of competitive selection: no other function can sit in this equation. For now, we observe the identity and demonstrate it numerically.</w:t>
      </w:r>
    </w:p>
    <w:p w14:paraId="682147B1" w14:textId="77777777" w:rsidR="00D47D20" w:rsidRDefault="00BA4A0C">
      <w:r>
        <w:rPr>
          <w:noProof/>
        </w:rPr>
      </w:r>
      <w:r>
        <w:pict w14:anchorId="551359E7">
          <v:rect id="Horizontal Line 6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C848BC" w14:textId="77777777" w:rsidR="00D47D20" w:rsidRDefault="00000000">
      <w:pPr>
        <w:pStyle w:val="Heading2"/>
      </w:pPr>
      <w:bookmarkStart w:id="7" w:name="worked-example-three-antigen-selection"/>
      <w:bookmarkEnd w:id="6"/>
      <w:r>
        <w:t>6. Worked Example: Three-Antigen Selection</w:t>
      </w:r>
    </w:p>
    <w:p w14:paraId="219B42AB" w14:textId="77777777" w:rsidR="00D47D20" w:rsidRDefault="00000000">
      <w:r>
        <w:rPr>
          <w:b/>
          <w:bCs/>
        </w:rPr>
        <w:t>Problem.</w:t>
      </w:r>
      <w:r>
        <w:t xml:space="preserve"> An antibody A encounters three candidate antigens with binding free energies (at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310</m:t>
        </m:r>
      </m:oMath>
      <w:r>
        <w:t xml:space="preserve"> K, where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0.616</m:t>
        </m:r>
      </m:oMath>
      <w:r>
        <w:t xml:space="preserve"> kcal/mol):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729"/>
        <w:gridCol w:w="1817"/>
      </w:tblGrid>
      <w:tr w:rsidR="00D47D20" w14:paraId="6CC75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C5962F3" w14:textId="77777777" w:rsidR="00D47D20" w:rsidRDefault="00000000">
            <w:r>
              <w:t>Antigen</w:t>
            </w:r>
          </w:p>
        </w:tc>
        <w:tc>
          <w:tcPr>
            <w:tcW w:w="0" w:type="auto"/>
          </w:tcPr>
          <w:p w14:paraId="6C35F365" w14:textId="77777777" w:rsidR="00D47D20" w:rsidRDefault="00000000">
            <m:oMath>
              <m:r>
                <w:rPr>
                  <w:rFonts w:ascii="Cambria Math" w:hAnsi="Cambria Math"/>
                </w:rPr>
                <m:t>ΔG</m:t>
              </m:r>
            </m:oMath>
            <w:r>
              <w:t xml:space="preserve"> (kcal/mol)</w:t>
            </w:r>
          </w:p>
        </w:tc>
      </w:tr>
      <w:tr w:rsidR="00D47D20" w14:paraId="21DE8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9B9161" w14:textId="77777777" w:rsidR="00D47D20" w:rsidRDefault="00000000">
            <w:r>
              <w:t>1</w:t>
            </w:r>
          </w:p>
        </w:tc>
        <w:tc>
          <w:tcPr>
            <w:tcW w:w="0" w:type="auto"/>
          </w:tcPr>
          <w:p w14:paraId="2C24FBD9" w14:textId="77777777" w:rsidR="00D47D20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10.0</m:t>
              </m:r>
            </m:oMath>
            <w:r>
              <w:t xml:space="preserve"> (tight binder)</w:t>
            </w:r>
          </w:p>
        </w:tc>
      </w:tr>
      <w:tr w:rsidR="00D47D20" w14:paraId="02EB5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754218" w14:textId="77777777" w:rsidR="00D47D20" w:rsidRDefault="00000000">
            <w:r>
              <w:t>2</w:t>
            </w:r>
          </w:p>
        </w:tc>
        <w:tc>
          <w:tcPr>
            <w:tcW w:w="0" w:type="auto"/>
          </w:tcPr>
          <w:p w14:paraId="5D75953E" w14:textId="77777777" w:rsidR="00D47D20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8.0</m:t>
              </m:r>
            </m:oMath>
            <w:r>
              <w:t xml:space="preserve"> (moderate)</w:t>
            </w:r>
          </w:p>
        </w:tc>
      </w:tr>
      <w:tr w:rsidR="00D47D20" w14:paraId="7C686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37F6C9" w14:textId="77777777" w:rsidR="00D47D20" w:rsidRDefault="00000000">
            <w:r>
              <w:t>3</w:t>
            </w:r>
          </w:p>
        </w:tc>
        <w:tc>
          <w:tcPr>
            <w:tcW w:w="0" w:type="auto"/>
          </w:tcPr>
          <w:p w14:paraId="13033080" w14:textId="77777777" w:rsidR="00D47D20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6.0</m:t>
              </m:r>
            </m:oMath>
            <w:r>
              <w:t xml:space="preserve"> (weak)</w:t>
            </w:r>
          </w:p>
        </w:tc>
      </w:tr>
    </w:tbl>
    <w:p w14:paraId="4B56DBE3" w14:textId="77777777" w:rsidR="00D47D20" w:rsidRDefault="00000000">
      <w:r>
        <w:lastRenderedPageBreak/>
        <w:t>Compute the probability that A selects each antigen.</w:t>
      </w:r>
    </w:p>
    <w:p w14:paraId="5E3E6283" w14:textId="77777777" w:rsidR="00D47D20" w:rsidRDefault="00000000">
      <w:pPr>
        <w:pStyle w:val="Heading3"/>
      </w:pPr>
      <w:bookmarkStart w:id="8" w:name="step-1-compute-dimensionless-scores."/>
      <w:r>
        <w:t>Step 1: Compute dimensionless scores.</w:t>
      </w:r>
    </w:p>
    <w:p w14:paraId="1A562DA2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RT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16.23</m:t>
          </m:r>
        </m:oMath>
      </m:oMathPara>
    </w:p>
    <w:p w14:paraId="772164DC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12.99</m:t>
          </m:r>
        </m:oMath>
      </m:oMathPara>
    </w:p>
    <w:p w14:paraId="572730ED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6.0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9.74</m:t>
          </m:r>
        </m:oMath>
      </m:oMathPara>
    </w:p>
    <w:p w14:paraId="158CC83F" w14:textId="77777777" w:rsidR="00D47D20" w:rsidRDefault="00000000">
      <w:pPr>
        <w:pStyle w:val="Heading3"/>
      </w:pPr>
      <w:bookmarkStart w:id="9" w:name="step-2-exponentiate."/>
      <w:bookmarkEnd w:id="8"/>
      <w:r>
        <w:t>Step 2: Exponentiate.</w:t>
      </w:r>
    </w:p>
    <w:p w14:paraId="54EACBB0" w14:textId="77777777" w:rsidR="00D47D20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16.23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1.11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4E94FE9F" w14:textId="77777777" w:rsidR="00D47D20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12.99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4.38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44F8F1E1" w14:textId="77777777" w:rsidR="00D47D20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9.74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1.70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1D640F98" w14:textId="77777777" w:rsidR="00D47D20" w:rsidRDefault="00000000">
      <w:pPr>
        <w:pStyle w:val="Heading3"/>
      </w:pPr>
      <w:bookmarkStart w:id="10" w:name="step-3-partition-function."/>
      <w:bookmarkEnd w:id="9"/>
      <w:r>
        <w:t>Step 3: Partition function.</w:t>
      </w:r>
    </w:p>
    <w:p w14:paraId="22B6FF4E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1.11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4.38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1.70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1.155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616D18F1" w14:textId="77777777" w:rsidR="00D47D20" w:rsidRDefault="00000000">
      <w:pPr>
        <w:pStyle w:val="Heading3"/>
      </w:pPr>
      <w:bookmarkStart w:id="11" w:name="step-4-probabilities."/>
      <w:bookmarkEnd w:id="10"/>
      <w:r>
        <w:t>Step 4: Probabilities.</w:t>
      </w:r>
    </w:p>
    <w:p w14:paraId="3162CBF0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bind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1.155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0.961</m:t>
          </m:r>
        </m:oMath>
      </m:oMathPara>
    </w:p>
    <w:p w14:paraId="36368FBA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bind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4.38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1.155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0.038</m:t>
          </m:r>
        </m:oMath>
      </m:oMathPara>
    </w:p>
    <w:p w14:paraId="6634AEBB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bind 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1.155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0.0015</m:t>
          </m:r>
        </m:oMath>
      </m:oMathPara>
    </w:p>
    <w:p w14:paraId="0E2025D0" w14:textId="77777777" w:rsidR="00D47D20" w:rsidRDefault="00000000">
      <w:r>
        <w:rPr>
          <w:b/>
          <w:bCs/>
        </w:rPr>
        <w:t>Verify:</w:t>
      </w:r>
      <w:r>
        <w:t xml:space="preserve"> </w:t>
      </w:r>
      <m:oMath>
        <m:r>
          <w:rPr>
            <w:rFonts w:ascii="Cambria Math" w:hAnsi="Cambria Math"/>
          </w:rPr>
          <m:t>0.961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0.038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1.0005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1.000</m:t>
        </m:r>
      </m:oMath>
      <w:r>
        <w:t xml:space="preserve"> ✓ (small rounding)</w:t>
      </w:r>
    </w:p>
    <w:p w14:paraId="025742EE" w14:textId="77777777" w:rsidR="00D47D20" w:rsidRDefault="00000000">
      <w:pPr>
        <w:pStyle w:val="Heading3"/>
      </w:pPr>
      <w:bookmarkStart w:id="12" w:name="interpretation."/>
      <w:bookmarkEnd w:id="11"/>
      <w:r>
        <w:t>Interpretation.</w:t>
      </w:r>
    </w:p>
    <w:p w14:paraId="68AF57EF" w14:textId="77777777" w:rsidR="00D47D20" w:rsidRDefault="00000000">
      <w:r>
        <w:t>Antigen 1 (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10</m:t>
        </m:r>
      </m:oMath>
      <w:r>
        <w:t xml:space="preserve"> kcal/mol) captures 96.1% of the binding probability. Antigen 2 gets 3.8%, and antigen 3 barely registers at 0.15%. A 2 kcal/mol difference in binding energy (between antigens 1 and 2, about 3.2 </w:t>
      </w:r>
      <m:oMath>
        <m:r>
          <w:rPr>
            <w:rFonts w:ascii="Cambria Math" w:hAnsi="Cambria Math"/>
          </w:rPr>
          <m:t>RT</m:t>
        </m:r>
      </m:oMath>
      <w:r>
        <w:t xml:space="preserve">) translates to a 25-fold preference. A 4 kcal/mol difference (between antigens 1 and 3, about 6.5 </w:t>
      </w:r>
      <m:oMath>
        <m:r>
          <w:rPr>
            <w:rFonts w:ascii="Cambria Math" w:hAnsi="Cambria Math"/>
          </w:rPr>
          <m:t>RT</m:t>
        </m:r>
      </m:oMath>
      <w:r>
        <w:t>) translates to a ~640-fold preference.</w:t>
      </w:r>
    </w:p>
    <w:p w14:paraId="29CD63DD" w14:textId="77777777" w:rsidR="00D47D20" w:rsidRDefault="00000000">
      <w:r>
        <w:rPr>
          <w:b/>
          <w:bCs/>
        </w:rPr>
        <w:t xml:space="preserve">The scores vector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16.23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12.99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9.74</m:t>
            </m:r>
          </m:e>
        </m:d>
      </m:oMath>
      <w:r>
        <w:rPr>
          <w:b/>
          <w:bCs/>
        </w:rPr>
        <w:t xml:space="preserve"> fed into softmax gives the probability vector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0.961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0.038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0.0015</m:t>
            </m:r>
          </m:e>
        </m:d>
      </m:oMath>
      <w:r>
        <w:rPr>
          <w:b/>
          <w:bCs/>
        </w:rPr>
        <w:t>.</w:t>
      </w:r>
      <w:r>
        <w:t xml:space="preserve"> This is exactly the same computation a transformer performs when computing attention weights — just with dot-product scores instead of negated binding energies.</w:t>
      </w:r>
    </w:p>
    <w:p w14:paraId="477CDF50" w14:textId="77777777" w:rsidR="00D47D20" w:rsidRDefault="00BA4A0C">
      <w:r>
        <w:rPr>
          <w:noProof/>
        </w:rPr>
      </w:r>
      <w:r>
        <w:pict w14:anchorId="21A95693">
          <v:rect id="Horizontal Line 7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8FEB96" w14:textId="77777777" w:rsidR="00D47D20" w:rsidRDefault="00000000">
      <w:pPr>
        <w:pStyle w:val="Heading2"/>
      </w:pPr>
      <w:bookmarkStart w:id="13" w:name="X915d5ca3527a3caad68a197f58ff4810b67caaa"/>
      <w:bookmarkEnd w:id="7"/>
      <w:bookmarkEnd w:id="12"/>
      <w:r>
        <w:t>7. Effect of Temperature (Pool of Same Three Antigens)</w:t>
      </w:r>
    </w:p>
    <w:p w14:paraId="584DA611" w14:textId="77777777" w:rsidR="00D47D20" w:rsidRDefault="00000000">
      <w:r>
        <w:t xml:space="preserve">The same three antigens at three different temperatures. This demonstrates the role of the temperature parameter — which is exactly the role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 plays in transformer attention.</w:t>
      </w:r>
    </w:p>
    <w:p w14:paraId="35E8CC71" w14:textId="77777777" w:rsidR="00D47D20" w:rsidRDefault="00000000">
      <w:pPr>
        <w:pStyle w:val="Heading3"/>
      </w:pPr>
      <w:bookmarkStart w:id="14" w:name="X6416c6b8f5548d763daff5713f89ef90a855406"/>
      <w:r>
        <w:t>At T = 310 K (physiological, RT = 0.616 kcal/mol):</w:t>
      </w:r>
    </w:p>
    <w:p w14:paraId="3EF7E4F7" w14:textId="77777777" w:rsidR="00D47D20" w:rsidRDefault="00000000">
      <w:r>
        <w:t xml:space="preserve">From the computation above: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0.961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0.038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0.0015</m:t>
            </m:r>
          </m:e>
        </m:d>
      </m:oMath>
      <w:r>
        <w:t>. Sharp selection.</w:t>
      </w:r>
    </w:p>
    <w:p w14:paraId="4717B05F" w14:textId="77777777" w:rsidR="00D47D20" w:rsidRDefault="00000000">
      <w:pPr>
        <w:pStyle w:val="Heading3"/>
      </w:pPr>
      <w:bookmarkStart w:id="15" w:name="X4061081ce12b5a00f6372ab2ddbb3887c9a0e53"/>
      <w:bookmarkEnd w:id="14"/>
      <w:r>
        <w:t>At T = 620 K (hypothetical high temperature, RT = 1.232 kcal/mol):</w:t>
      </w:r>
    </w:p>
    <w:p w14:paraId="72D601C7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10.0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1.232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8.12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8.0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1.232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6.49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1.232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4.87</m:t>
          </m:r>
        </m:oMath>
      </m:oMathPara>
    </w:p>
    <w:p w14:paraId="170F2442" w14:textId="77777777" w:rsidR="00D47D20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3368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659.9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130.3</m:t>
          </m:r>
        </m:oMath>
      </m:oMathPara>
    </w:p>
    <w:p w14:paraId="3AEEC048" w14:textId="77777777" w:rsidR="00D47D20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4158</m:t>
          </m:r>
        </m:oMath>
      </m:oMathPara>
    </w:p>
    <w:p w14:paraId="74536EDB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0.159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0.031</m:t>
          </m:r>
        </m:oMath>
      </m:oMathPara>
    </w:p>
    <w:p w14:paraId="3FD0CC8F" w14:textId="77777777" w:rsidR="00D47D20" w:rsidRDefault="00000000">
      <w:r>
        <w:t>At higher temperature: the distribution flattens. Antigen 1 still dominates, but antigens 2 and 3 become meaningfully populated.</w:t>
      </w:r>
    </w:p>
    <w:p w14:paraId="48444D4F" w14:textId="77777777" w:rsidR="00D47D20" w:rsidRDefault="00000000">
      <w:pPr>
        <w:pStyle w:val="Heading3"/>
      </w:pPr>
      <w:bookmarkStart w:id="16" w:name="X92235e1d5a0655d0c96b72c4208f36779bf8821"/>
      <w:bookmarkEnd w:id="15"/>
      <w:r>
        <w:t>At T = 155 K (hypothetical low temperature, RT = 0.308 kcal/mol):</w:t>
      </w:r>
    </w:p>
    <w:p w14:paraId="7F56B4D9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10.0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0.308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32.47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25.97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19.48</m:t>
          </m:r>
        </m:oMath>
      </m:oMathPara>
    </w:p>
    <w:p w14:paraId="3C64F147" w14:textId="77777777" w:rsidR="00D47D20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1.28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2.89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078901CB" w14:textId="77777777" w:rsidR="00D47D20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0.99985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0.00015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2E1689C9" w14:textId="77777777" w:rsidR="00D47D20" w:rsidRDefault="00000000">
      <w:r>
        <w:t>At low temperature: the distribution becomes nearly deterministic — antigen 1 captures essentially all the probability.</w:t>
      </w:r>
    </w:p>
    <w:p w14:paraId="31B0B0F9" w14:textId="77777777" w:rsidR="00D47D20" w:rsidRDefault="00000000">
      <w:pPr>
        <w:pStyle w:val="Heading3"/>
      </w:pPr>
      <w:bookmarkStart w:id="17" w:name="summary-of-temperature-effects"/>
      <w:bookmarkEnd w:id="16"/>
      <w:r>
        <w:t>Summary of temperature effects: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144"/>
        <w:gridCol w:w="1273"/>
        <w:gridCol w:w="625"/>
        <w:gridCol w:w="625"/>
        <w:gridCol w:w="515"/>
        <w:gridCol w:w="2025"/>
      </w:tblGrid>
      <w:tr w:rsidR="00D47D20" w14:paraId="21C4D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28208D6" w14:textId="77777777" w:rsidR="00D47D20" w:rsidRDefault="00000000">
            <w:r>
              <w:t>Temperature</w:t>
            </w:r>
          </w:p>
        </w:tc>
        <w:tc>
          <w:tcPr>
            <w:tcW w:w="0" w:type="auto"/>
          </w:tcPr>
          <w:p w14:paraId="3199E56A" w14:textId="77777777" w:rsidR="00D47D20" w:rsidRDefault="00000000">
            <w:r>
              <w:t>RT (kcal/mol)</w:t>
            </w:r>
          </w:p>
        </w:tc>
        <w:tc>
          <w:tcPr>
            <w:tcW w:w="0" w:type="auto"/>
          </w:tcPr>
          <w:p w14:paraId="7802EE05" w14:textId="77777777" w:rsidR="00D47D20" w:rsidRDefault="00000000">
            <w:r>
              <w:t>P(1)</w:t>
            </w:r>
          </w:p>
        </w:tc>
        <w:tc>
          <w:tcPr>
            <w:tcW w:w="0" w:type="auto"/>
          </w:tcPr>
          <w:p w14:paraId="23721FD8" w14:textId="77777777" w:rsidR="00D47D20" w:rsidRDefault="00000000">
            <w:r>
              <w:t>P(2)</w:t>
            </w:r>
          </w:p>
        </w:tc>
        <w:tc>
          <w:tcPr>
            <w:tcW w:w="0" w:type="auto"/>
          </w:tcPr>
          <w:p w14:paraId="6C3C55D7" w14:textId="77777777" w:rsidR="00D47D20" w:rsidRDefault="00000000">
            <w:r>
              <w:t>P(3)</w:t>
            </w:r>
          </w:p>
        </w:tc>
        <w:tc>
          <w:tcPr>
            <w:tcW w:w="0" w:type="auto"/>
          </w:tcPr>
          <w:p w14:paraId="61B61808" w14:textId="77777777" w:rsidR="00D47D20" w:rsidRDefault="00000000">
            <w:r>
              <w:t>Character</w:t>
            </w:r>
          </w:p>
        </w:tc>
      </w:tr>
      <w:tr w:rsidR="00D47D20" w14:paraId="347D8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C1B6C3" w14:textId="77777777" w:rsidR="00D47D20" w:rsidRDefault="00000000">
            <w:r>
              <w:t>155 K</w:t>
            </w:r>
          </w:p>
        </w:tc>
        <w:tc>
          <w:tcPr>
            <w:tcW w:w="0" w:type="auto"/>
          </w:tcPr>
          <w:p w14:paraId="5A8D1EB2" w14:textId="77777777" w:rsidR="00D47D20" w:rsidRDefault="00000000">
            <w:r>
              <w:t>0.308</w:t>
            </w:r>
          </w:p>
        </w:tc>
        <w:tc>
          <w:tcPr>
            <w:tcW w:w="0" w:type="auto"/>
          </w:tcPr>
          <w:p w14:paraId="72DF73EB" w14:textId="77777777" w:rsidR="00D47D20" w:rsidRDefault="00000000">
            <w:r>
              <w:t>0.9999</w:t>
            </w:r>
          </w:p>
        </w:tc>
        <w:tc>
          <w:tcPr>
            <w:tcW w:w="0" w:type="auto"/>
          </w:tcPr>
          <w:p w14:paraId="016EF5BC" w14:textId="77777777" w:rsidR="00D47D20" w:rsidRDefault="00000000">
            <w:r>
              <w:t>0.0001</w:t>
            </w:r>
          </w:p>
        </w:tc>
        <w:tc>
          <w:tcPr>
            <w:tcW w:w="0" w:type="auto"/>
          </w:tcPr>
          <w:p w14:paraId="18D5EE6A" w14:textId="77777777" w:rsidR="00D47D20" w:rsidRDefault="00000000">
            <w:r>
              <w:t>~0</w:t>
            </w:r>
          </w:p>
        </w:tc>
        <w:tc>
          <w:tcPr>
            <w:tcW w:w="0" w:type="auto"/>
          </w:tcPr>
          <w:p w14:paraId="62280610" w14:textId="77777777" w:rsidR="00D47D20" w:rsidRDefault="00000000">
            <w:r>
              <w:t>Nearly deterministic</w:t>
            </w:r>
          </w:p>
        </w:tc>
      </w:tr>
      <w:tr w:rsidR="00D47D20" w14:paraId="1CB89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21908E" w14:textId="77777777" w:rsidR="00D47D20" w:rsidRDefault="00000000">
            <w:r>
              <w:t>310 K</w:t>
            </w:r>
          </w:p>
        </w:tc>
        <w:tc>
          <w:tcPr>
            <w:tcW w:w="0" w:type="auto"/>
          </w:tcPr>
          <w:p w14:paraId="55B385A8" w14:textId="77777777" w:rsidR="00D47D20" w:rsidRDefault="00000000">
            <w:r>
              <w:t>0.616</w:t>
            </w:r>
          </w:p>
        </w:tc>
        <w:tc>
          <w:tcPr>
            <w:tcW w:w="0" w:type="auto"/>
          </w:tcPr>
          <w:p w14:paraId="631B515A" w14:textId="77777777" w:rsidR="00D47D20" w:rsidRDefault="00000000">
            <w:r>
              <w:t>0.961</w:t>
            </w:r>
          </w:p>
        </w:tc>
        <w:tc>
          <w:tcPr>
            <w:tcW w:w="0" w:type="auto"/>
          </w:tcPr>
          <w:p w14:paraId="2A0CC2F0" w14:textId="77777777" w:rsidR="00D47D20" w:rsidRDefault="00000000">
            <w:r>
              <w:t>0.038</w:t>
            </w:r>
          </w:p>
        </w:tc>
        <w:tc>
          <w:tcPr>
            <w:tcW w:w="0" w:type="auto"/>
          </w:tcPr>
          <w:p w14:paraId="469F317A" w14:textId="77777777" w:rsidR="00D47D20" w:rsidRDefault="00000000">
            <w:r>
              <w:t>0.002</w:t>
            </w:r>
          </w:p>
        </w:tc>
        <w:tc>
          <w:tcPr>
            <w:tcW w:w="0" w:type="auto"/>
          </w:tcPr>
          <w:p w14:paraId="6439E950" w14:textId="77777777" w:rsidR="00D47D20" w:rsidRDefault="00000000">
            <w:r>
              <w:t>Sharp but probabilistic</w:t>
            </w:r>
          </w:p>
        </w:tc>
      </w:tr>
      <w:tr w:rsidR="00D47D20" w14:paraId="0837C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055597" w14:textId="77777777" w:rsidR="00D47D20" w:rsidRDefault="00000000">
            <w:r>
              <w:t>620 K</w:t>
            </w:r>
          </w:p>
        </w:tc>
        <w:tc>
          <w:tcPr>
            <w:tcW w:w="0" w:type="auto"/>
          </w:tcPr>
          <w:p w14:paraId="17B17F97" w14:textId="77777777" w:rsidR="00D47D20" w:rsidRDefault="00000000">
            <w:r>
              <w:t>1.232</w:t>
            </w:r>
          </w:p>
        </w:tc>
        <w:tc>
          <w:tcPr>
            <w:tcW w:w="0" w:type="auto"/>
          </w:tcPr>
          <w:p w14:paraId="0F786F64" w14:textId="77777777" w:rsidR="00D47D20" w:rsidRDefault="00000000">
            <w:r>
              <w:t>0.810</w:t>
            </w:r>
          </w:p>
        </w:tc>
        <w:tc>
          <w:tcPr>
            <w:tcW w:w="0" w:type="auto"/>
          </w:tcPr>
          <w:p w14:paraId="1A561743" w14:textId="77777777" w:rsidR="00D47D20" w:rsidRDefault="00000000">
            <w:r>
              <w:t>0.159</w:t>
            </w:r>
          </w:p>
        </w:tc>
        <w:tc>
          <w:tcPr>
            <w:tcW w:w="0" w:type="auto"/>
          </w:tcPr>
          <w:p w14:paraId="73C72733" w14:textId="77777777" w:rsidR="00D47D20" w:rsidRDefault="00000000">
            <w:r>
              <w:t>0.031</w:t>
            </w:r>
          </w:p>
        </w:tc>
        <w:tc>
          <w:tcPr>
            <w:tcW w:w="0" w:type="auto"/>
          </w:tcPr>
          <w:p w14:paraId="3A37C2C5" w14:textId="77777777" w:rsidR="00D47D20" w:rsidRDefault="00000000">
            <w:r>
              <w:t>More diffuse</w:t>
            </w:r>
          </w:p>
        </w:tc>
      </w:tr>
    </w:tbl>
    <w:p w14:paraId="5DF3269D" w14:textId="77777777" w:rsidR="00D47D20" w:rsidRDefault="00000000">
      <w:r>
        <w:rPr>
          <w:b/>
          <w:bCs/>
        </w:rPr>
        <w:t>This is the same behavior as the temperature regimes of softmax from Lecture 1.</w:t>
      </w:r>
      <w:r>
        <w:t xml:space="preserve"> Low temperature → sharp selection; high temperature → diffuse selection. The physical temperature </w:t>
      </w:r>
      <m:oMath>
        <m:r>
          <w:rPr>
            <w:rFonts w:ascii="Cambria Math" w:hAnsi="Cambria Math"/>
          </w:rPr>
          <m:t>RT</m:t>
        </m:r>
      </m:oMath>
      <w:r>
        <w:t xml:space="preserve"> and the machine learning temperature </w:t>
      </w:r>
      <m:oMath>
        <m:r>
          <w:rPr>
            <w:rFonts w:ascii="Cambria Math" w:hAnsi="Cambria Math"/>
          </w:rPr>
          <m:t>τ</m:t>
        </m:r>
      </m:oMath>
      <w:r>
        <w:t xml:space="preserve"> play identical mathematical roles.</w:t>
      </w:r>
    </w:p>
    <w:p w14:paraId="541D2F2C" w14:textId="77777777" w:rsidR="00D47D20" w:rsidRDefault="00BA4A0C">
      <w:r>
        <w:rPr>
          <w:noProof/>
        </w:rPr>
      </w:r>
      <w:r>
        <w:pict w14:anchorId="57ECD6C7">
          <v:rect id="Horizontal Line 8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A79887" w14:textId="77777777" w:rsidR="00D47D20" w:rsidRDefault="00000000">
      <w:pPr>
        <w:pStyle w:val="Heading2"/>
      </w:pPr>
      <w:bookmarkStart w:id="18" w:name="X4ac8582b4ceee9015a94e5e01bf0cfef4600ab0"/>
      <w:bookmarkEnd w:id="13"/>
      <w:bookmarkEnd w:id="17"/>
      <w:r>
        <w:t>8. What the Identity Does and Does Not Establish</w:t>
      </w:r>
    </w:p>
    <w:p w14:paraId="7E93624F" w14:textId="77777777" w:rsidR="00D47D20" w:rsidRDefault="00000000">
      <w:r>
        <w:rPr>
          <w:b/>
          <w:bCs/>
        </w:rPr>
        <w:t>What is established by this derivation:</w:t>
      </w:r>
    </w:p>
    <w:p w14:paraId="772F66DC" w14:textId="77777777" w:rsidR="00D47D20" w:rsidRDefault="00000000">
      <w:pPr>
        <w:numPr>
          <w:ilvl w:val="0"/>
          <w:numId w:val="6"/>
        </w:numPr>
      </w:pPr>
      <w:r>
        <w:t>The Boltzmann distribution is softmax applied to dimensionless compatibility scores.</w:t>
      </w:r>
    </w:p>
    <w:p w14:paraId="7089F0FE" w14:textId="77777777" w:rsidR="00D47D20" w:rsidRDefault="00000000">
      <w:pPr>
        <w:numPr>
          <w:ilvl w:val="0"/>
          <w:numId w:val="6"/>
        </w:numPr>
      </w:pPr>
      <w:r>
        <w:t>Competitive molecular binding at thermal equilibrium follows the softmax form.</w:t>
      </w:r>
    </w:p>
    <w:p w14:paraId="76EF2FD7" w14:textId="77777777" w:rsidR="00D47D20" w:rsidRDefault="00000000">
      <w:pPr>
        <w:numPr>
          <w:ilvl w:val="0"/>
          <w:numId w:val="6"/>
        </w:numPr>
      </w:pPr>
      <w:r>
        <w:t>The mathematical structure of the Boltzmann selection probability is identical to transformer attention.</w:t>
      </w:r>
    </w:p>
    <w:p w14:paraId="510B36C7" w14:textId="77777777" w:rsidR="00D47D20" w:rsidRDefault="00000000">
      <w:r>
        <w:rPr>
          <w:b/>
          <w:bCs/>
        </w:rPr>
        <w:t>What is NOT yet established (but will be in later lectures):</w:t>
      </w:r>
    </w:p>
    <w:p w14:paraId="36414AE2" w14:textId="77777777" w:rsidR="00D47D20" w:rsidRDefault="00000000">
      <w:pPr>
        <w:numPr>
          <w:ilvl w:val="0"/>
          <w:numId w:val="7"/>
        </w:numPr>
      </w:pPr>
      <w:r>
        <w:rPr>
          <w:b/>
          <w:bCs/>
        </w:rPr>
        <w:t>That softmax is the unique function</w:t>
      </w:r>
      <w:r>
        <w:t xml:space="preserve"> satisfying physically reasonable axioms of selection. Multiple functions could in principle produce probability distributions; why must it be exponential? The uniqueness proof is Lecture 6 (Luce’s theorem).</w:t>
      </w:r>
    </w:p>
    <w:p w14:paraId="01E28ABC" w14:textId="77777777" w:rsidR="00D47D20" w:rsidRDefault="00000000">
      <w:pPr>
        <w:numPr>
          <w:ilvl w:val="0"/>
          <w:numId w:val="7"/>
        </w:numPr>
      </w:pPr>
      <w:r>
        <w:rPr>
          <w:b/>
          <w:bCs/>
        </w:rPr>
        <w:t>That the binding energy decomposes as a dot product.</w:t>
      </w:r>
      <w:r>
        <w:t xml:space="preserve"> The derivation above treats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as a scalar for each target. The claim that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(bilinear decomposition) is Lecture 5. For nucleic acids (given bilinearity), this is exact. For proteins (emergent bilinearity), it is learned.</w:t>
      </w:r>
    </w:p>
    <w:p w14:paraId="6AF0FE79" w14:textId="77777777" w:rsidR="00D47D20" w:rsidRDefault="00000000">
      <w:pPr>
        <w:numPr>
          <w:ilvl w:val="0"/>
          <w:numId w:val="7"/>
        </w:numPr>
      </w:pPr>
      <w:r>
        <w:rPr>
          <w:b/>
          <w:bCs/>
        </w:rPr>
        <w:t>That this identity prescribes a complete neural architecture.</w:t>
      </w:r>
      <w:r>
        <w:t xml:space="preserve"> Given the Boltzmann-softmax equivalence and the bilinear energy decomposition, the full SFM architecture — dual encoders, InfoNCE, symmetric loss, learned temperature — follows. This is Lecture 7.</w:t>
      </w:r>
    </w:p>
    <w:p w14:paraId="3A5F604B" w14:textId="77777777" w:rsidR="00D47D20" w:rsidRDefault="00000000">
      <w:r>
        <w:t xml:space="preserve">The identity derived here is the </w:t>
      </w:r>
      <w:r>
        <w:rPr>
          <w:b/>
          <w:bCs/>
        </w:rPr>
        <w:t>entry point</w:t>
      </w:r>
      <w:r>
        <w:t xml:space="preserve"> to the MRC framework. Each subsequent lecture fills in one of the remaining pieces.</w:t>
      </w:r>
    </w:p>
    <w:p w14:paraId="77FE0312" w14:textId="77777777" w:rsidR="00D47D20" w:rsidRDefault="00BA4A0C">
      <w:r>
        <w:rPr>
          <w:noProof/>
        </w:rPr>
      </w:r>
      <w:r>
        <w:pict w14:anchorId="48668A5B">
          <v:rect id="Horizontal Line 9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C8C3F8" w14:textId="77777777" w:rsidR="00D47D20" w:rsidRDefault="00000000">
      <w:pPr>
        <w:pStyle w:val="Heading2"/>
      </w:pPr>
      <w:bookmarkStart w:id="19" w:name="X4fddc5fc503332a74ccd525b8328063e512caf1"/>
      <w:bookmarkEnd w:id="18"/>
      <w:r>
        <w:t>9. Generalization Across Molecular Recognition Systems</w:t>
      </w:r>
    </w:p>
    <w:p w14:paraId="3F12F9A7" w14:textId="77777777" w:rsidR="00D47D20" w:rsidRDefault="00000000">
      <w:r>
        <w:t>The derivation made no assumption specific to antibodies. It applies to any molecular recognition system at thermal equilibrium: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639"/>
        <w:gridCol w:w="1713"/>
        <w:gridCol w:w="2113"/>
        <w:gridCol w:w="3551"/>
      </w:tblGrid>
      <w:tr w:rsidR="00D47D20" w14:paraId="0BD14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6005F79" w14:textId="77777777" w:rsidR="00D47D20" w:rsidRDefault="00000000">
            <w:r>
              <w:t>System</w:t>
            </w:r>
          </w:p>
        </w:tc>
        <w:tc>
          <w:tcPr>
            <w:tcW w:w="0" w:type="auto"/>
          </w:tcPr>
          <w:p w14:paraId="675B7CB2" w14:textId="77777777" w:rsidR="00D47D20" w:rsidRDefault="00000000">
            <w:r>
              <w:t>Agent</w:t>
            </w:r>
          </w:p>
        </w:tc>
        <w:tc>
          <w:tcPr>
            <w:tcW w:w="0" w:type="auto"/>
          </w:tcPr>
          <w:p w14:paraId="3BCBAD67" w14:textId="77777777" w:rsidR="00D47D20" w:rsidRDefault="00000000">
            <w:r>
              <w:t>Target pool</w:t>
            </w:r>
          </w:p>
        </w:tc>
        <w:tc>
          <w:tcPr>
            <w:tcW w:w="0" w:type="auto"/>
          </w:tcPr>
          <w:p w14:paraId="0FC8221C" w14:textId="77777777" w:rsidR="00D47D20" w:rsidRDefault="00000000">
            <w:r>
              <w:t>Selection probability</w:t>
            </w:r>
          </w:p>
        </w:tc>
      </w:tr>
      <w:tr w:rsidR="00D47D20" w14:paraId="40548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358E9" w14:textId="77777777" w:rsidR="00D47D20" w:rsidRDefault="00000000">
            <w:r>
              <w:rPr>
                <w:b/>
                <w:bCs/>
              </w:rPr>
              <w:t>Antibody-antigen</w:t>
            </w:r>
          </w:p>
        </w:tc>
        <w:tc>
          <w:tcPr>
            <w:tcW w:w="0" w:type="auto"/>
          </w:tcPr>
          <w:p w14:paraId="4DA6D67C" w14:textId="77777777" w:rsidR="00D47D20" w:rsidRDefault="00000000">
            <w:r>
              <w:t>Antibody A</w:t>
            </w:r>
          </w:p>
        </w:tc>
        <w:tc>
          <w:tcPr>
            <w:tcW w:w="0" w:type="auto"/>
          </w:tcPr>
          <w:p w14:paraId="147F25D8" w14:textId="77777777" w:rsidR="00D47D20" w:rsidRDefault="00000000">
            <w:r>
              <w:t xml:space="preserve">Antigens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</w:p>
        </w:tc>
        <w:tc>
          <w:tcPr>
            <w:tcW w:w="0" w:type="auto"/>
          </w:tcPr>
          <w:p w14:paraId="6CDB9E4A" w14:textId="77777777" w:rsidR="00D47D20" w:rsidRDefault="00000000">
            <w:r>
              <w:t>Probability A binds each antigen</w:t>
            </w:r>
          </w:p>
        </w:tc>
      </w:tr>
      <w:tr w:rsidR="00D47D20" w14:paraId="0A9B2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CE010D" w14:textId="77777777" w:rsidR="00D47D20" w:rsidRDefault="00000000">
            <w:r>
              <w:rPr>
                <w:b/>
                <w:bCs/>
              </w:rPr>
              <w:t>TCR-pMHC</w:t>
            </w:r>
          </w:p>
        </w:tc>
        <w:tc>
          <w:tcPr>
            <w:tcW w:w="0" w:type="auto"/>
          </w:tcPr>
          <w:p w14:paraId="6E0B1434" w14:textId="77777777" w:rsidR="00D47D20" w:rsidRDefault="00000000">
            <w:r>
              <w:t>T-cell receptor</w:t>
            </w:r>
          </w:p>
        </w:tc>
        <w:tc>
          <w:tcPr>
            <w:tcW w:w="0" w:type="auto"/>
          </w:tcPr>
          <w:p w14:paraId="3A130FD8" w14:textId="77777777" w:rsidR="00D47D20" w:rsidRDefault="00000000">
            <w:r>
              <w:t>Peptide-MHC complexes</w:t>
            </w:r>
          </w:p>
        </w:tc>
        <w:tc>
          <w:tcPr>
            <w:tcW w:w="0" w:type="auto"/>
          </w:tcPr>
          <w:p w14:paraId="08539C2D" w14:textId="77777777" w:rsidR="00D47D20" w:rsidRDefault="00000000">
            <w:r>
              <w:t>Probability TCR recognizes each pMHC</w:t>
            </w:r>
          </w:p>
        </w:tc>
      </w:tr>
      <w:tr w:rsidR="00D47D20" w14:paraId="4CDA5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60D2FC" w14:textId="77777777" w:rsidR="00D47D20" w:rsidRDefault="00000000">
            <w:r>
              <w:rPr>
                <w:b/>
                <w:bCs/>
              </w:rPr>
              <w:t>TF-DNA</w:t>
            </w:r>
          </w:p>
        </w:tc>
        <w:tc>
          <w:tcPr>
            <w:tcW w:w="0" w:type="auto"/>
          </w:tcPr>
          <w:p w14:paraId="298B0330" w14:textId="77777777" w:rsidR="00D47D20" w:rsidRDefault="00000000">
            <w:r>
              <w:t>Transcription factor</w:t>
            </w:r>
          </w:p>
        </w:tc>
        <w:tc>
          <w:tcPr>
            <w:tcW w:w="0" w:type="auto"/>
          </w:tcPr>
          <w:p w14:paraId="550602A8" w14:textId="77777777" w:rsidR="00D47D20" w:rsidRDefault="00000000">
            <w:r>
              <w:t>Genomic binding sites</w:t>
            </w:r>
          </w:p>
        </w:tc>
        <w:tc>
          <w:tcPr>
            <w:tcW w:w="0" w:type="auto"/>
          </w:tcPr>
          <w:p w14:paraId="62A0C60A" w14:textId="77777777" w:rsidR="00D47D20" w:rsidRDefault="00000000">
            <w:r>
              <w:t>Probability TF binds each site</w:t>
            </w:r>
          </w:p>
        </w:tc>
      </w:tr>
      <w:tr w:rsidR="00D47D20" w14:paraId="6CF44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CC296B" w14:textId="77777777" w:rsidR="00D47D20" w:rsidRDefault="00000000">
            <w:r>
              <w:rPr>
                <w:b/>
                <w:bCs/>
              </w:rPr>
              <w:t>Enzyme-substrate</w:t>
            </w:r>
          </w:p>
        </w:tc>
        <w:tc>
          <w:tcPr>
            <w:tcW w:w="0" w:type="auto"/>
          </w:tcPr>
          <w:p w14:paraId="295DD5F3" w14:textId="77777777" w:rsidR="00D47D20" w:rsidRDefault="00000000">
            <w:r>
              <w:t>Enzyme</w:t>
            </w:r>
          </w:p>
        </w:tc>
        <w:tc>
          <w:tcPr>
            <w:tcW w:w="0" w:type="auto"/>
          </w:tcPr>
          <w:p w14:paraId="0FE58A4C" w14:textId="77777777" w:rsidR="00D47D20" w:rsidRDefault="00000000">
            <w:r>
              <w:t>Substrates</w:t>
            </w:r>
          </w:p>
        </w:tc>
        <w:tc>
          <w:tcPr>
            <w:tcW w:w="0" w:type="auto"/>
          </w:tcPr>
          <w:p w14:paraId="73F72FDE" w14:textId="77777777" w:rsidR="00D47D20" w:rsidRDefault="00000000">
            <w:r>
              <w:t>Probability enzyme acts on each substrate</w:t>
            </w:r>
          </w:p>
        </w:tc>
      </w:tr>
      <w:tr w:rsidR="00D47D20" w14:paraId="6302B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AABCAB" w14:textId="77777777" w:rsidR="00D47D20" w:rsidRDefault="00000000">
            <w:r>
              <w:rPr>
                <w:b/>
                <w:bCs/>
              </w:rPr>
              <w:t>miRNA-mRNA</w:t>
            </w:r>
          </w:p>
        </w:tc>
        <w:tc>
          <w:tcPr>
            <w:tcW w:w="0" w:type="auto"/>
          </w:tcPr>
          <w:p w14:paraId="3E14E009" w14:textId="77777777" w:rsidR="00D47D20" w:rsidRDefault="00000000">
            <w:r>
              <w:t>microRNA</w:t>
            </w:r>
          </w:p>
        </w:tc>
        <w:tc>
          <w:tcPr>
            <w:tcW w:w="0" w:type="auto"/>
          </w:tcPr>
          <w:p w14:paraId="41E3931C" w14:textId="77777777" w:rsidR="00D47D20" w:rsidRDefault="00000000">
            <w:r>
              <w:t>Target sites in mRNAs</w:t>
            </w:r>
          </w:p>
        </w:tc>
        <w:tc>
          <w:tcPr>
            <w:tcW w:w="0" w:type="auto"/>
          </w:tcPr>
          <w:p w14:paraId="528F6AD8" w14:textId="77777777" w:rsidR="00D47D20" w:rsidRDefault="00000000">
            <w:r>
              <w:t>Probability miRNA targets each site</w:t>
            </w:r>
          </w:p>
        </w:tc>
      </w:tr>
      <w:tr w:rsidR="00D47D20" w14:paraId="74474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A0FB25" w14:textId="77777777" w:rsidR="00D47D20" w:rsidRDefault="00000000">
            <w:r>
              <w:rPr>
                <w:b/>
                <w:bCs/>
              </w:rPr>
              <w:t>CRISPR-DNA</w:t>
            </w:r>
          </w:p>
        </w:tc>
        <w:tc>
          <w:tcPr>
            <w:tcW w:w="0" w:type="auto"/>
          </w:tcPr>
          <w:p w14:paraId="0CCFAC90" w14:textId="77777777" w:rsidR="00D47D20" w:rsidRDefault="00000000">
            <w:r>
              <w:t>Guide RNA</w:t>
            </w:r>
          </w:p>
        </w:tc>
        <w:tc>
          <w:tcPr>
            <w:tcW w:w="0" w:type="auto"/>
          </w:tcPr>
          <w:p w14:paraId="161BB601" w14:textId="77777777" w:rsidR="00D47D20" w:rsidRDefault="00000000">
            <w:r>
              <w:t>Genomic loci</w:t>
            </w:r>
          </w:p>
        </w:tc>
        <w:tc>
          <w:tcPr>
            <w:tcW w:w="0" w:type="auto"/>
          </w:tcPr>
          <w:p w14:paraId="402205DA" w14:textId="77777777" w:rsidR="00D47D20" w:rsidRDefault="00000000">
            <w:r>
              <w:t>Probability gRNA directs Cas to each locus</w:t>
            </w:r>
          </w:p>
        </w:tc>
      </w:tr>
      <w:tr w:rsidR="00D47D20" w14:paraId="75A4B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52393C" w14:textId="77777777" w:rsidR="00D47D20" w:rsidRDefault="00000000">
            <w:r>
              <w:rPr>
                <w:b/>
                <w:bCs/>
              </w:rPr>
              <w:t>Drug-target</w:t>
            </w:r>
          </w:p>
        </w:tc>
        <w:tc>
          <w:tcPr>
            <w:tcW w:w="0" w:type="auto"/>
          </w:tcPr>
          <w:p w14:paraId="636AA0B7" w14:textId="77777777" w:rsidR="00D47D20" w:rsidRDefault="00000000">
            <w:r>
              <w:t>Drug molecule</w:t>
            </w:r>
          </w:p>
        </w:tc>
        <w:tc>
          <w:tcPr>
            <w:tcW w:w="0" w:type="auto"/>
          </w:tcPr>
          <w:p w14:paraId="0CA4784E" w14:textId="77777777" w:rsidR="00D47D20" w:rsidRDefault="00000000">
            <w:r>
              <w:t>Protein targets</w:t>
            </w:r>
          </w:p>
        </w:tc>
        <w:tc>
          <w:tcPr>
            <w:tcW w:w="0" w:type="auto"/>
          </w:tcPr>
          <w:p w14:paraId="1CA80A6D" w14:textId="77777777" w:rsidR="00D47D20" w:rsidRDefault="00000000">
            <w:r>
              <w:t>Probability drug binds each target</w:t>
            </w:r>
          </w:p>
        </w:tc>
      </w:tr>
    </w:tbl>
    <w:p w14:paraId="4A747BDE" w14:textId="77777777" w:rsidR="00D47D20" w:rsidRDefault="00000000">
      <w:r>
        <w:lastRenderedPageBreak/>
        <w:t xml:space="preserve">In every case: competitive selection from a pool, thermal equilibrium, Boltzmann distribution. </w:t>
      </w:r>
      <w:r>
        <w:rPr>
          <w:b/>
          <w:bCs/>
        </w:rPr>
        <w:t>One equation, seven systems.</w:t>
      </w:r>
      <w:r>
        <w:t xml:space="preserve"> Lecture 8 will show that this extends to at least ten biological domains, with six already prototyped as SFMs (Reddy, </w:t>
      </w:r>
      <w:r>
        <w:rPr>
          <w:i/>
          <w:iCs/>
        </w:rPr>
        <w:t>bioRxiv</w:t>
      </w:r>
      <w:r>
        <w:t>, 2026 — the vibe-coding paper).</w:t>
      </w:r>
    </w:p>
    <w:p w14:paraId="71C0BE33" w14:textId="77777777" w:rsidR="00D47D20" w:rsidRDefault="00BA4A0C">
      <w:r>
        <w:rPr>
          <w:noProof/>
        </w:rPr>
      </w:r>
      <w:r>
        <w:pict w14:anchorId="4213F1B4">
          <v:rect id="Horizontal Line 10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4DA078" w14:textId="77777777" w:rsidR="00D47D20" w:rsidRDefault="00000000">
      <w:pPr>
        <w:pStyle w:val="Heading2"/>
      </w:pPr>
      <w:bookmarkStart w:id="20" w:name="the-historical-convergence"/>
      <w:bookmarkEnd w:id="19"/>
      <w:r>
        <w:t>10. The Historical Convergence</w:t>
      </w:r>
    </w:p>
    <w:p w14:paraId="5F11CB52" w14:textId="77777777" w:rsidR="00D47D20" w:rsidRDefault="00000000">
      <w:r>
        <w:t>The identity demonstrated in this derivation has been reached independently by six fields over 150 years: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460"/>
        <w:gridCol w:w="2271"/>
        <w:gridCol w:w="1266"/>
        <w:gridCol w:w="5019"/>
      </w:tblGrid>
      <w:tr w:rsidR="00D47D20" w14:paraId="212CC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8B1FDAD" w14:textId="77777777" w:rsidR="00D47D20" w:rsidRDefault="00000000">
            <w:r>
              <w:t>Year</w:t>
            </w:r>
          </w:p>
        </w:tc>
        <w:tc>
          <w:tcPr>
            <w:tcW w:w="0" w:type="auto"/>
          </w:tcPr>
          <w:p w14:paraId="6F5DBD79" w14:textId="77777777" w:rsidR="00D47D20" w:rsidRDefault="00000000">
            <w:r>
              <w:t>Discipline</w:t>
            </w:r>
          </w:p>
        </w:tc>
        <w:tc>
          <w:tcPr>
            <w:tcW w:w="0" w:type="auto"/>
          </w:tcPr>
          <w:p w14:paraId="7A3AACCF" w14:textId="77777777" w:rsidR="00D47D20" w:rsidRDefault="00000000">
            <w:r>
              <w:t>Discoverer</w:t>
            </w:r>
          </w:p>
        </w:tc>
        <w:tc>
          <w:tcPr>
            <w:tcW w:w="0" w:type="auto"/>
          </w:tcPr>
          <w:p w14:paraId="380489F2" w14:textId="77777777" w:rsidR="00D47D20" w:rsidRDefault="00000000">
            <w:r>
              <w:t>Formulation</w:t>
            </w:r>
          </w:p>
        </w:tc>
      </w:tr>
      <w:tr w:rsidR="00D47D20" w14:paraId="338E2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E3927" w14:textId="77777777" w:rsidR="00D47D20" w:rsidRDefault="00000000">
            <w:r>
              <w:rPr>
                <w:b/>
                <w:bCs/>
              </w:rPr>
              <w:t>1877</w:t>
            </w:r>
          </w:p>
        </w:tc>
        <w:tc>
          <w:tcPr>
            <w:tcW w:w="0" w:type="auto"/>
          </w:tcPr>
          <w:p w14:paraId="55835B9E" w14:textId="77777777" w:rsidR="00D47D20" w:rsidRDefault="00000000">
            <w:r>
              <w:t>Statistical mechanics</w:t>
            </w:r>
          </w:p>
        </w:tc>
        <w:tc>
          <w:tcPr>
            <w:tcW w:w="0" w:type="auto"/>
          </w:tcPr>
          <w:p w14:paraId="2B5E9D0F" w14:textId="77777777" w:rsidR="00D47D20" w:rsidRDefault="00000000">
            <w:r>
              <w:t>Boltzmann</w:t>
            </w:r>
          </w:p>
        </w:tc>
        <w:tc>
          <w:tcPr>
            <w:tcW w:w="0" w:type="auto"/>
          </w:tcPr>
          <w:p w14:paraId="67BC0810" w14:textId="77777777" w:rsidR="00D47D20" w:rsidRDefault="00000000"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∝exp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t xml:space="preserve"> (derived)</w:t>
            </w:r>
          </w:p>
        </w:tc>
      </w:tr>
      <w:tr w:rsidR="00D47D20" w14:paraId="2B21C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CD553E" w14:textId="77777777" w:rsidR="00D47D20" w:rsidRDefault="00000000">
            <w:r>
              <w:rPr>
                <w:b/>
                <w:bCs/>
              </w:rPr>
              <w:t>1948</w:t>
            </w:r>
          </w:p>
        </w:tc>
        <w:tc>
          <w:tcPr>
            <w:tcW w:w="0" w:type="auto"/>
          </w:tcPr>
          <w:p w14:paraId="104C1015" w14:textId="77777777" w:rsidR="00D47D20" w:rsidRDefault="00000000">
            <w:r>
              <w:t>Information theory</w:t>
            </w:r>
          </w:p>
        </w:tc>
        <w:tc>
          <w:tcPr>
            <w:tcW w:w="0" w:type="auto"/>
          </w:tcPr>
          <w:p w14:paraId="51119FF6" w14:textId="77777777" w:rsidR="00D47D20" w:rsidRDefault="00000000">
            <w:r>
              <w:t>Shannon</w:t>
            </w:r>
          </w:p>
        </w:tc>
        <w:tc>
          <w:tcPr>
            <w:tcW w:w="0" w:type="auto"/>
          </w:tcPr>
          <w:p w14:paraId="2C329242" w14:textId="77777777" w:rsidR="00D47D20" w:rsidRDefault="00000000">
            <w:r>
              <w:t>Maximum entropy distribution</w:t>
            </w:r>
          </w:p>
        </w:tc>
      </w:tr>
      <w:tr w:rsidR="00D47D20" w14:paraId="0E99F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856864" w14:textId="77777777" w:rsidR="00D47D20" w:rsidRDefault="00000000">
            <w:r>
              <w:rPr>
                <w:b/>
                <w:bCs/>
              </w:rPr>
              <w:t>1957</w:t>
            </w:r>
          </w:p>
        </w:tc>
        <w:tc>
          <w:tcPr>
            <w:tcW w:w="0" w:type="auto"/>
          </w:tcPr>
          <w:p w14:paraId="7B0297B8" w14:textId="77777777" w:rsidR="00D47D20" w:rsidRDefault="00000000">
            <w:r>
              <w:t>Information theory</w:t>
            </w:r>
          </w:p>
        </w:tc>
        <w:tc>
          <w:tcPr>
            <w:tcW w:w="0" w:type="auto"/>
          </w:tcPr>
          <w:p w14:paraId="2D83746B" w14:textId="77777777" w:rsidR="00D47D20" w:rsidRDefault="00000000">
            <w:r>
              <w:t>Jaynes</w:t>
            </w:r>
          </w:p>
        </w:tc>
        <w:tc>
          <w:tcPr>
            <w:tcW w:w="0" w:type="auto"/>
          </w:tcPr>
          <w:p w14:paraId="2715E90A" w14:textId="77777777" w:rsidR="00D47D20" w:rsidRDefault="00000000">
            <w:r>
              <w:t>Uniquely rational inference under incomplete information</w:t>
            </w:r>
          </w:p>
        </w:tc>
      </w:tr>
      <w:tr w:rsidR="00D47D20" w14:paraId="02E25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26312" w14:textId="77777777" w:rsidR="00D47D20" w:rsidRDefault="00000000">
            <w:r>
              <w:rPr>
                <w:b/>
                <w:bCs/>
              </w:rPr>
              <w:t>1959</w:t>
            </w:r>
          </w:p>
        </w:tc>
        <w:tc>
          <w:tcPr>
            <w:tcW w:w="0" w:type="auto"/>
          </w:tcPr>
          <w:p w14:paraId="44CF7CDC" w14:textId="77777777" w:rsidR="00D47D20" w:rsidRDefault="00000000">
            <w:r>
              <w:t>Mathematical psychology</w:t>
            </w:r>
          </w:p>
        </w:tc>
        <w:tc>
          <w:tcPr>
            <w:tcW w:w="0" w:type="auto"/>
          </w:tcPr>
          <w:p w14:paraId="66F5DD29" w14:textId="77777777" w:rsidR="00D47D20" w:rsidRDefault="00000000">
            <w:r>
              <w:t>Luce</w:t>
            </w:r>
          </w:p>
        </w:tc>
        <w:tc>
          <w:tcPr>
            <w:tcW w:w="0" w:type="auto"/>
          </w:tcPr>
          <w:p w14:paraId="0132548D" w14:textId="77777777" w:rsidR="00D47D20" w:rsidRDefault="00000000">
            <w:r>
              <w:t>Unique function satisfying five axioms of rational choice</w:t>
            </w:r>
          </w:p>
        </w:tc>
      </w:tr>
      <w:tr w:rsidR="00D47D20" w14:paraId="22817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9166CA" w14:textId="77777777" w:rsidR="00D47D20" w:rsidRDefault="00000000">
            <w:r>
              <w:rPr>
                <w:b/>
                <w:bCs/>
              </w:rPr>
              <w:t>1974</w:t>
            </w:r>
          </w:p>
        </w:tc>
        <w:tc>
          <w:tcPr>
            <w:tcW w:w="0" w:type="auto"/>
          </w:tcPr>
          <w:p w14:paraId="48212072" w14:textId="77777777" w:rsidR="00D47D20" w:rsidRDefault="00000000">
            <w:r>
              <w:t>Econometrics</w:t>
            </w:r>
          </w:p>
        </w:tc>
        <w:tc>
          <w:tcPr>
            <w:tcW w:w="0" w:type="auto"/>
          </w:tcPr>
          <w:p w14:paraId="39E68477" w14:textId="77777777" w:rsidR="00D47D20" w:rsidRDefault="00000000">
            <w:r>
              <w:t>McFadden</w:t>
            </w:r>
          </w:p>
        </w:tc>
        <w:tc>
          <w:tcPr>
            <w:tcW w:w="0" w:type="auto"/>
          </w:tcPr>
          <w:p w14:paraId="5B7494E8" w14:textId="77777777" w:rsidR="00D47D20" w:rsidRDefault="00000000">
            <w:r>
              <w:t>Discrete choice theory (Nobel Prize 2000)</w:t>
            </w:r>
          </w:p>
        </w:tc>
      </w:tr>
      <w:tr w:rsidR="00D47D20" w14:paraId="10BDB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3EB2AC" w14:textId="77777777" w:rsidR="00D47D20" w:rsidRDefault="00000000">
            <w:r>
              <w:rPr>
                <w:b/>
                <w:bCs/>
              </w:rPr>
              <w:t>2017</w:t>
            </w:r>
          </w:p>
        </w:tc>
        <w:tc>
          <w:tcPr>
            <w:tcW w:w="0" w:type="auto"/>
          </w:tcPr>
          <w:p w14:paraId="0F5944A2" w14:textId="77777777" w:rsidR="00D47D20" w:rsidRDefault="00000000">
            <w:r>
              <w:t>Machine learning</w:t>
            </w:r>
          </w:p>
        </w:tc>
        <w:tc>
          <w:tcPr>
            <w:tcW w:w="0" w:type="auto"/>
          </w:tcPr>
          <w:p w14:paraId="6EAAADA7" w14:textId="77777777" w:rsidR="00D47D20" w:rsidRDefault="00000000">
            <w:r>
              <w:t>Vaswani et al.</w:t>
            </w:r>
          </w:p>
        </w:tc>
        <w:tc>
          <w:tcPr>
            <w:tcW w:w="0" w:type="auto"/>
          </w:tcPr>
          <w:p w14:paraId="24D4BF5A" w14:textId="77777777" w:rsidR="00D47D20" w:rsidRDefault="00000000">
            <w:r>
              <w:t>Scaled dot-product attention (transformer)</w:t>
            </w:r>
          </w:p>
        </w:tc>
      </w:tr>
      <w:tr w:rsidR="00D47D20" w14:paraId="5C959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45149" w14:textId="77777777" w:rsidR="00D47D20" w:rsidRDefault="00000000">
            <w:r>
              <w:rPr>
                <w:b/>
                <w:bCs/>
              </w:rPr>
              <w:t>2026</w:t>
            </w:r>
          </w:p>
        </w:tc>
        <w:tc>
          <w:tcPr>
            <w:tcW w:w="0" w:type="auto"/>
          </w:tcPr>
          <w:p w14:paraId="2CEF44D9" w14:textId="77777777" w:rsidR="00D47D20" w:rsidRDefault="00000000">
            <w:r>
              <w:t>Molecular biology</w:t>
            </w:r>
          </w:p>
        </w:tc>
        <w:tc>
          <w:tcPr>
            <w:tcW w:w="0" w:type="auto"/>
          </w:tcPr>
          <w:p w14:paraId="7230FED0" w14:textId="77777777" w:rsidR="00D47D20" w:rsidRDefault="00000000">
            <w:r>
              <w:t>Reddy</w:t>
            </w:r>
          </w:p>
        </w:tc>
        <w:tc>
          <w:tcPr>
            <w:tcW w:w="0" w:type="auto"/>
          </w:tcPr>
          <w:p w14:paraId="5CAC646D" w14:textId="77777777" w:rsidR="00D47D20" w:rsidRDefault="00000000">
            <w:r>
              <w:t>The convergence equation — identity formalized</w:t>
            </w:r>
          </w:p>
        </w:tc>
      </w:tr>
    </w:tbl>
    <w:p w14:paraId="7180D318" w14:textId="77777777" w:rsidR="00D47D20" w:rsidRDefault="00000000">
      <w:r>
        <w:rPr>
          <w:b/>
          <w:bCs/>
        </w:rPr>
        <w:t>What each field called it:</w:t>
      </w:r>
    </w:p>
    <w:p w14:paraId="762F3A39" w14:textId="77777777" w:rsidR="00D47D20" w:rsidRDefault="00000000">
      <w:pPr>
        <w:numPr>
          <w:ilvl w:val="0"/>
          <w:numId w:val="8"/>
        </w:numPr>
      </w:pPr>
      <w:r>
        <w:t xml:space="preserve">Boltzmann: </w:t>
      </w:r>
      <w:r>
        <w:rPr>
          <w:b/>
          <w:bCs/>
        </w:rPr>
        <w:t>partition function</w:t>
      </w:r>
    </w:p>
    <w:p w14:paraId="0CD99C50" w14:textId="77777777" w:rsidR="00D47D20" w:rsidRDefault="00000000">
      <w:pPr>
        <w:numPr>
          <w:ilvl w:val="0"/>
          <w:numId w:val="8"/>
        </w:numPr>
      </w:pPr>
      <w:r>
        <w:t xml:space="preserve">Shannon/Jaynes: </w:t>
      </w:r>
      <w:r>
        <w:rPr>
          <w:b/>
          <w:bCs/>
        </w:rPr>
        <w:t>maximum entropy distribution</w:t>
      </w:r>
    </w:p>
    <w:p w14:paraId="134E696E" w14:textId="77777777" w:rsidR="00D47D20" w:rsidRDefault="00000000">
      <w:pPr>
        <w:numPr>
          <w:ilvl w:val="0"/>
          <w:numId w:val="8"/>
        </w:numPr>
      </w:pPr>
      <w:r>
        <w:t xml:space="preserve">Luce: </w:t>
      </w:r>
      <w:r>
        <w:rPr>
          <w:b/>
          <w:bCs/>
        </w:rPr>
        <w:t>choice probability</w:t>
      </w:r>
    </w:p>
    <w:p w14:paraId="422F5590" w14:textId="77777777" w:rsidR="00D47D20" w:rsidRDefault="00000000">
      <w:pPr>
        <w:numPr>
          <w:ilvl w:val="0"/>
          <w:numId w:val="8"/>
        </w:numPr>
      </w:pPr>
      <w:r>
        <w:t xml:space="preserve">Vaswani: </w:t>
      </w:r>
      <w:r>
        <w:rPr>
          <w:b/>
          <w:bCs/>
        </w:rPr>
        <w:t>softmax attention</w:t>
      </w:r>
    </w:p>
    <w:p w14:paraId="2CF23C6C" w14:textId="77777777" w:rsidR="00D47D20" w:rsidRDefault="00000000">
      <w:r>
        <w:rPr>
          <w:b/>
          <w:bCs/>
        </w:rPr>
        <w:t>They are the same mathematical object.</w:t>
      </w:r>
      <w:r>
        <w:t xml:space="preserve"> Lecture 6 proves this is not coincidence — the five axioms each field independently identified converge on a single functional form.</w:t>
      </w:r>
    </w:p>
    <w:p w14:paraId="6404BD2B" w14:textId="77777777" w:rsidR="00D47D20" w:rsidRDefault="00BA4A0C">
      <w:r>
        <w:rPr>
          <w:noProof/>
        </w:rPr>
      </w:r>
      <w:r>
        <w:pict w14:anchorId="0B8F1FB0">
          <v:rect id="Horizontal Line 11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DA14D5" w14:textId="77777777" w:rsidR="00D47D20" w:rsidRDefault="00000000">
      <w:pPr>
        <w:pStyle w:val="Heading2"/>
      </w:pPr>
      <w:bookmarkStart w:id="21" w:name="summary"/>
      <w:bookmarkEnd w:id="20"/>
      <w:r>
        <w:t>11. Summary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002"/>
        <w:gridCol w:w="4527"/>
        <w:gridCol w:w="2487"/>
      </w:tblGrid>
      <w:tr w:rsidR="00D47D20" w14:paraId="70CBC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D5DECAB" w14:textId="77777777" w:rsidR="00D47D20" w:rsidRDefault="00000000">
            <w:r>
              <w:t>Concept</w:t>
            </w:r>
          </w:p>
        </w:tc>
        <w:tc>
          <w:tcPr>
            <w:tcW w:w="0" w:type="auto"/>
          </w:tcPr>
          <w:p w14:paraId="774D4C49" w14:textId="77777777" w:rsidR="00D47D20" w:rsidRDefault="00000000">
            <w:r>
              <w:t>Result</w:t>
            </w:r>
          </w:p>
        </w:tc>
        <w:tc>
          <w:tcPr>
            <w:tcW w:w="0" w:type="auto"/>
          </w:tcPr>
          <w:p w14:paraId="6B74897F" w14:textId="77777777" w:rsidR="00D47D20" w:rsidRDefault="00000000">
            <w:r>
              <w:t>Significance</w:t>
            </w:r>
          </w:p>
        </w:tc>
      </w:tr>
      <w:tr w:rsidR="00D47D20" w14:paraId="56BD9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6ED5E7" w14:textId="77777777" w:rsidR="00D47D20" w:rsidRDefault="00000000">
            <w:r>
              <w:t>Competitive Boltzmann</w:t>
            </w:r>
          </w:p>
        </w:tc>
        <w:tc>
          <w:tcPr>
            <w:tcW w:w="0" w:type="auto"/>
          </w:tcPr>
          <w:p w14:paraId="1810EA71" w14:textId="77777777" w:rsidR="00D47D20" w:rsidRDefault="00000000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RT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0" w:type="auto"/>
          </w:tcPr>
          <w:p w14:paraId="5BFEBDA0" w14:textId="77777777" w:rsidR="00D47D20" w:rsidRDefault="00000000">
            <w:r>
              <w:t>Multi-candidate selection at equilibrium</w:t>
            </w:r>
          </w:p>
        </w:tc>
      </w:tr>
      <w:tr w:rsidR="00D47D20" w14:paraId="6180F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18F73E" w14:textId="77777777" w:rsidR="00D47D20" w:rsidRDefault="00000000">
            <w:r>
              <w:t>Dimensionless score</w:t>
            </w:r>
          </w:p>
        </w:tc>
        <w:tc>
          <w:tcPr>
            <w:tcW w:w="0" w:type="auto"/>
          </w:tcPr>
          <w:p w14:paraId="52D1DE2A" w14:textId="77777777" w:rsidR="00D47D2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RT</m:t>
                </m:r>
              </m:oMath>
            </m:oMathPara>
          </w:p>
        </w:tc>
        <w:tc>
          <w:tcPr>
            <w:tcW w:w="0" w:type="auto"/>
          </w:tcPr>
          <w:p w14:paraId="5844C686" w14:textId="77777777" w:rsidR="00D47D20" w:rsidRDefault="00000000">
            <w:r>
              <w:t>Energy in thermal units</w:t>
            </w:r>
          </w:p>
        </w:tc>
      </w:tr>
      <w:tr w:rsidR="00D47D20" w14:paraId="3DD26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A93D2D" w14:textId="77777777" w:rsidR="00D47D20" w:rsidRDefault="00000000">
            <w:r>
              <w:t>Identity</w:t>
            </w:r>
          </w:p>
        </w:tc>
        <w:tc>
          <w:tcPr>
            <w:tcW w:w="0" w:type="auto"/>
          </w:tcPr>
          <w:p w14:paraId="169C9EB9" w14:textId="77777777" w:rsidR="00D47D20" w:rsidRDefault="00000000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softmax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81DB9A" w14:textId="77777777" w:rsidR="00D47D20" w:rsidRDefault="00000000">
            <w:r>
              <w:t>Boltzmann IS softmax</w:t>
            </w:r>
          </w:p>
        </w:tc>
      </w:tr>
      <w:tr w:rsidR="00D47D20" w14:paraId="32BF9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9A6444" w14:textId="77777777" w:rsidR="00D47D20" w:rsidRDefault="00000000">
            <w:r>
              <w:t>Attention correspondence</w:t>
            </w:r>
          </w:p>
        </w:tc>
        <w:tc>
          <w:tcPr>
            <w:tcW w:w="0" w:type="auto"/>
          </w:tcPr>
          <w:p w14:paraId="7D055925" w14:textId="77777777" w:rsidR="00D47D20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↔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t xml:space="preserve">; </w:t>
            </w:r>
            <m:oMath>
              <m:r>
                <w:rPr>
                  <w:rFonts w:ascii="Cambria Math" w:hAnsi="Cambria Math"/>
                </w:rPr>
                <m:t>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↔</m:t>
              </m:r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0" w:type="auto"/>
          </w:tcPr>
          <w:p w14:paraId="5139D57B" w14:textId="77777777" w:rsidR="00D47D20" w:rsidRDefault="00000000">
            <w:r>
              <w:t>One equation, two fields</w:t>
            </w:r>
          </w:p>
        </w:tc>
      </w:tr>
      <w:tr w:rsidR="00D47D20" w14:paraId="028E0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3F1DB6" w14:textId="77777777" w:rsidR="00D47D20" w:rsidRDefault="00000000">
            <w:r>
              <w:t>Partition function</w:t>
            </w:r>
          </w:p>
        </w:tc>
        <w:tc>
          <w:tcPr>
            <w:tcW w:w="0" w:type="auto"/>
          </w:tcPr>
          <w:p w14:paraId="1C63D89D" w14:textId="77777777" w:rsidR="00D47D20" w:rsidRDefault="00000000"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</w:tcPr>
          <w:p w14:paraId="3D79BE80" w14:textId="77777777" w:rsidR="00D47D20" w:rsidRDefault="00000000">
            <w:r>
              <w:t>The softmax denominator</w:t>
            </w:r>
          </w:p>
        </w:tc>
      </w:tr>
      <w:tr w:rsidR="00D47D20" w14:paraId="0184B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EB9B3D" w14:textId="77777777" w:rsidR="00D47D20" w:rsidRDefault="00000000">
            <w:r>
              <w:t>Temperature effects</w:t>
            </w:r>
          </w:p>
        </w:tc>
        <w:tc>
          <w:tcPr>
            <w:tcW w:w="0" w:type="auto"/>
          </w:tcPr>
          <w:p w14:paraId="72AF309A" w14:textId="77777777" w:rsidR="00D47D20" w:rsidRDefault="00000000">
            <w:r>
              <w:t>Sharp ↔ diffuse selection</w:t>
            </w:r>
          </w:p>
        </w:tc>
        <w:tc>
          <w:tcPr>
            <w:tcW w:w="0" w:type="auto"/>
          </w:tcPr>
          <w:p w14:paraId="45E872B0" w14:textId="77777777" w:rsidR="00D47D20" w:rsidRDefault="00000000">
            <w:r>
              <w:t>Same physics as ML temperature</w:t>
            </w:r>
          </w:p>
        </w:tc>
      </w:tr>
      <w:tr w:rsidR="00D47D20" w14:paraId="6B231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37FC2F" w14:textId="77777777" w:rsidR="00D47D20" w:rsidRDefault="00000000">
            <w:r>
              <w:t>Six independent derivations</w:t>
            </w:r>
          </w:p>
        </w:tc>
        <w:tc>
          <w:tcPr>
            <w:tcW w:w="0" w:type="auto"/>
          </w:tcPr>
          <w:p w14:paraId="0DD2811A" w14:textId="77777777" w:rsidR="00D47D20" w:rsidRDefault="00000000">
            <w:r>
              <w:t>Boltzmann → Shannon → Jaynes → Luce → McFadden → Vaswani → Reddy</w:t>
            </w:r>
          </w:p>
        </w:tc>
        <w:tc>
          <w:tcPr>
            <w:tcW w:w="0" w:type="auto"/>
          </w:tcPr>
          <w:p w14:paraId="5FAF8235" w14:textId="77777777" w:rsidR="00D47D20" w:rsidRDefault="00000000">
            <w:r>
              <w:t>150 years, one function</w:t>
            </w:r>
          </w:p>
        </w:tc>
      </w:tr>
    </w:tbl>
    <w:p w14:paraId="3CD7353D" w14:textId="77777777" w:rsidR="00D47D20" w:rsidRDefault="00BA4A0C">
      <w:r>
        <w:rPr>
          <w:noProof/>
        </w:rPr>
      </w:r>
      <w:r>
        <w:pict w14:anchorId="68AE5659">
          <v:rect id="Horizontal Line 12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224A8A" w14:textId="77777777" w:rsidR="00D47D20" w:rsidRDefault="00000000">
      <w:pPr>
        <w:pStyle w:val="Heading2"/>
      </w:pPr>
      <w:bookmarkStart w:id="22" w:name="checkpoint-questions"/>
      <w:bookmarkEnd w:id="21"/>
      <w:r>
        <w:t>12. Checkpoint Questions</w:t>
      </w:r>
    </w:p>
    <w:p w14:paraId="699260C1" w14:textId="77777777" w:rsidR="00D47D20" w:rsidRDefault="00000000">
      <w:r>
        <w:rPr>
          <w:b/>
          <w:bCs/>
        </w:rPr>
        <w:t>Q1.</w:t>
      </w:r>
      <w:r>
        <w:t xml:space="preserve"> In the worked example (§6), the difference in binding energy between antigens 1 and 2 is 2 kcal/mol (about 3.2 </w:t>
      </w:r>
      <m:oMath>
        <m:r>
          <w:rPr>
            <w:rFonts w:ascii="Cambria Math" w:hAnsi="Cambria Math"/>
          </w:rPr>
          <m:t>RT</m:t>
        </m:r>
      </m:oMath>
      <w:r>
        <w:t xml:space="preserve">). The probability ratio is 0.961/0.038 ≈ 25. Verify that this ratio equals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and explain the shift-invariance property.</w:t>
      </w:r>
    </w:p>
    <w:p w14:paraId="2F96B70A" w14:textId="77777777" w:rsidR="00D47D20" w:rsidRDefault="00000000">
      <w:r>
        <w:rPr>
          <w:i/>
          <w:i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16.23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12.99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3.24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25.5</m:t>
        </m:r>
      </m:oMath>
      <w:r>
        <w:t xml:space="preserve"> ✓ (matches within rounding). The ratio depends only on the score difference, not on the absolute scores. Adding a constant </w:t>
      </w:r>
      <m:oMath>
        <m:r>
          <w:rPr>
            <w:rFonts w:ascii="Cambria Math" w:hAnsi="Cambria Math"/>
          </w:rPr>
          <m:t>C</m:t>
        </m:r>
      </m:oMath>
      <w:r>
        <w:t xml:space="preserve"> to all scores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) would multiply every numerator and every denominator term by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, which </w:t>
      </w:r>
      <w:r>
        <w:lastRenderedPageBreak/>
        <w:t xml:space="preserve">cancels — leaving the probabilities unchanged. This shift invariance is the </w:t>
      </w:r>
      <w:r>
        <w:rPr>
          <w:b/>
          <w:bCs/>
        </w:rPr>
        <w:t>IIA property</w:t>
      </w:r>
      <w:r>
        <w:t xml:space="preserve"> (Independence of Irrelevant Alternatives) — the relative preference between two targets depends only on their scores, not on absolute values or on the presence of other candidates. Lecture 6 proves this property uniquely selects the exponential form.</w:t>
      </w:r>
    </w:p>
    <w:p w14:paraId="43F8B5D4" w14:textId="77777777" w:rsidR="00D47D20" w:rsidRDefault="00000000">
      <w:r>
        <w:rPr>
          <w:b/>
          <w:bCs/>
        </w:rPr>
        <w:t>Q2.</w:t>
      </w:r>
      <w:r>
        <w:t xml:space="preserve"> A student argues: “At very low temperature, the probability of the best-binding target approaches 1. But the physics of binding happens at 310 K — why do we even need softmax? Why not just pick the argmax?”</w:t>
      </w:r>
    </w:p>
    <w:p w14:paraId="37644C86" w14:textId="77777777" w:rsidR="00D47D20" w:rsidRDefault="00000000">
      <w:r>
        <w:rPr>
          <w:i/>
          <w:iCs/>
        </w:rPr>
        <w:t>Answer:</w:t>
      </w:r>
      <w:r>
        <w:t xml:space="preserve"> At physiological temperature (310 K,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0.616</m:t>
        </m:r>
      </m:oMath>
      <w:r>
        <w:t xml:space="preserve"> kcal/mol), the thermal energy is substantial. Small energy differences (1–3 kcal/mol, or 2–5 </w:t>
      </w:r>
      <m:oMath>
        <m:r>
          <w:rPr>
            <w:rFonts w:ascii="Cambria Math" w:hAnsi="Cambria Math"/>
          </w:rPr>
          <m:t>RT</m:t>
        </m:r>
      </m:oMath>
      <w:r>
        <w:t xml:space="preserve">) are typical for molecular discrimination, and these produce graded — not deterministic — selection. In the worked example, antigen 1 was 96% probable, not 100%: 4% of the time, the antibody binds a different (weaker) target due to thermal fluctuations. This is the biological basis of cross-reactivity and off-target effects. Using argmax would eliminate this stochasticity and give a false picture of molecular selectivity. The </w:t>
      </w:r>
      <w:r>
        <w:rPr>
          <w:b/>
          <w:bCs/>
        </w:rPr>
        <w:t>soft, probabilistic</w:t>
      </w:r>
      <w:r>
        <w:t xml:space="preserve"> selection captured by softmax is the correct physical description. This is why Axiom 1 (positivity — every candidate has non-zero probability) is in Luce’s list of five.</w:t>
      </w:r>
    </w:p>
    <w:p w14:paraId="1DD88799" w14:textId="77777777" w:rsidR="00D47D20" w:rsidRDefault="00000000">
      <w:r>
        <w:rPr>
          <w:b/>
          <w:bCs/>
        </w:rPr>
        <w:t>Q3.</w:t>
      </w:r>
      <w:r>
        <w:t xml:space="preserve"> In the transformer, the temperature is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t xml:space="preserve"> — determined by the embedding dimension. In physics, the temperature is </w:t>
      </w:r>
      <m:oMath>
        <m:r>
          <w:rPr>
            <w:rFonts w:ascii="Cambria Math" w:hAnsi="Cambria Math"/>
          </w:rPr>
          <m:t>RT</m:t>
        </m:r>
      </m:oMath>
      <w:r>
        <w:t xml:space="preserve"> — determined by the physical temperature of the system. In SFMs, the temperature is learned. Why is learned temperature the correct choice, given the identity?</w:t>
      </w:r>
    </w:p>
    <w:p w14:paraId="16D6C709" w14:textId="77777777" w:rsidR="00D47D20" w:rsidRDefault="00000000">
      <w:r>
        <w:rPr>
          <w:i/>
          <w:iCs/>
        </w:rPr>
        <w:t>Answer:</w:t>
      </w:r>
      <w:r>
        <w:t xml:space="preserve"> The identity tells 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τ</m:t>
        </m:r>
      </m:oMath>
      <w:r>
        <w:t xml:space="preserve">. If we want the contrastive score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to recover the physical binding energy, then </w:t>
      </w:r>
      <m:oMath>
        <m:r>
          <w:rPr>
            <w:rFonts w:ascii="Cambria Math" w:hAnsi="Cambria Math"/>
          </w:rPr>
          <m:t>τ</m:t>
        </m:r>
      </m:oMath>
      <w:r>
        <w:t xml:space="preserve"> must match </w:t>
      </w:r>
      <m:oMath>
        <m:r>
          <w:rPr>
            <w:rFonts w:ascii="Cambria Math" w:hAnsi="Cambria Math"/>
          </w:rPr>
          <m:t>RT</m:t>
        </m:r>
      </m:oMath>
      <w:r>
        <w:t xml:space="preserve"> — up to a unit conversion between embedding space (arbitrary units) and kcal/mol (physical units). The embedding units are determined by encoder architecture, L2 normalization, and training dynamics, so </w:t>
      </w:r>
      <m:oMath>
        <m:r>
          <w:rPr>
            <w:rFonts w:ascii="Cambria Math" w:hAnsi="Cambria Math"/>
          </w:rPr>
          <m:t>τ</m:t>
        </m:r>
      </m:oMath>
      <w:r>
        <w:t xml:space="preserve"> cannot be known a priori. A learned temperature allows the model to discover the correct unit conversion. CLIP (Radford et al., 2021) used learned temperature empirically; SFMs adopt it because the physics requires it. Lecture 7 gives the full argument; Lecture 10 (future work) uses learned </w:t>
      </w:r>
      <m:oMath>
        <m:r>
          <w:rPr>
            <w:rFonts w:ascii="Cambria Math" w:hAnsi="Cambria Math"/>
          </w:rPr>
          <m:t>τ</m:t>
        </m:r>
      </m:oMath>
      <w:r>
        <w:t xml:space="preserve"> to recover physical temperature from the embedding geometry.</w:t>
      </w:r>
    </w:p>
    <w:p w14:paraId="489E5E90" w14:textId="77777777" w:rsidR="00D47D20" w:rsidRDefault="00000000">
      <w:r>
        <w:rPr>
          <w:b/>
          <w:bCs/>
        </w:rPr>
        <w:t>Q4.</w:t>
      </w:r>
      <w:r>
        <w:t xml:space="preserve"> The derivation computed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 xml:space="preserve">bind 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t xml:space="preserve"> for each target in the pool. But the pool consists of specific antigens in a specific experiment. If a new antigen is added to the pool, does the Boltzmann probability for the original antigens change?</w:t>
      </w:r>
    </w:p>
    <w:p w14:paraId="7E9EA049" w14:textId="77777777" w:rsidR="00D47D20" w:rsidRDefault="00000000">
      <w:r>
        <w:rPr>
          <w:i/>
          <w:iCs/>
        </w:rPr>
        <w:t>Answer:</w:t>
      </w:r>
      <w:r>
        <w:t xml:space="preserve"> Yes — the partition function </w:t>
      </w:r>
      <m:oMath>
        <m:r>
          <w:rPr>
            <w:rFonts w:ascii="Cambria Math" w:hAnsi="Cambria Math"/>
          </w:rPr>
          <m:t>Z</m:t>
        </m:r>
      </m:oMath>
      <w:r>
        <w:t xml:space="preserve"> now includes the new term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new</m:t>
                </m:r>
              </m:sub>
            </m:sSub>
          </m:e>
        </m:d>
      </m:oMath>
      <w:r>
        <w:t xml:space="preserve">, so every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t xml:space="preserve"> is reduced. But the </w:t>
      </w:r>
      <w:r>
        <w:rPr>
          <w:b/>
          <w:bCs/>
        </w:rPr>
        <w:t>ratio</w:t>
      </w:r>
      <w:r>
        <w:t xml:space="preserve"> between any two original targets is unchanged: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, which doesn’t depend on the new target’s score. This is exactly the IIA property: the relative preference between original targets is independent of the presence or absence of other candidates. However, the absolute probabilities change because probabilities must sum to 1 over the full pool. In SFM training, this is why the in-batch competitor pool matters — the batch defines the “competition” for the InfoNCE denominator. Different pool compositions give different absolute selection probabilities but preserve relative rankings.</w:t>
      </w:r>
    </w:p>
    <w:p w14:paraId="267818E4" w14:textId="77777777" w:rsidR="00D47D20" w:rsidRDefault="00BA4A0C">
      <w:r>
        <w:rPr>
          <w:noProof/>
        </w:rPr>
      </w:r>
      <w:r>
        <w:pict w14:anchorId="2DEDAFB6">
          <v:rect id="Horizontal Line 13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5FACC8" w14:textId="77777777" w:rsidR="00D47D20" w:rsidRDefault="00000000">
      <w:pPr>
        <w:pStyle w:val="Heading2"/>
      </w:pPr>
      <w:bookmarkStart w:id="23" w:name="connection-to-future-lectures"/>
      <w:bookmarkEnd w:id="22"/>
      <w:r>
        <w:t>13. Connection to Future Lectures</w:t>
      </w:r>
    </w:p>
    <w:p w14:paraId="39745936" w14:textId="77777777" w:rsidR="00D47D20" w:rsidRDefault="00000000">
      <w:pPr>
        <w:numPr>
          <w:ilvl w:val="0"/>
          <w:numId w:val="9"/>
        </w:numPr>
      </w:pPr>
      <w:r>
        <w:rPr>
          <w:b/>
          <w:bCs/>
        </w:rPr>
        <w:t>Lecture 5:</w:t>
      </w:r>
      <w:r>
        <w:t xml:space="preserve"> The binding energy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shown to decompose as a dot product: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(given bilinearity for nucleic acids, emergent bilinearity for proteins). Substituting this into the Boltzmann distribution derived here gives the attention equation directly.</w:t>
      </w:r>
    </w:p>
    <w:p w14:paraId="3F8F3D51" w14:textId="77777777" w:rsidR="00D47D20" w:rsidRDefault="00000000">
      <w:pPr>
        <w:numPr>
          <w:ilvl w:val="0"/>
          <w:numId w:val="9"/>
        </w:numPr>
      </w:pPr>
      <w:r>
        <w:rPr>
          <w:b/>
          <w:bCs/>
        </w:rPr>
        <w:t>Lecture 6:</w:t>
      </w:r>
      <w:r>
        <w:t xml:space="preserve"> The five axioms that uniquely select the exponential form are stated. The identity demonstrated here is proven to be inevitable.</w:t>
      </w:r>
    </w:p>
    <w:p w14:paraId="753017F3" w14:textId="77777777" w:rsidR="00D47D20" w:rsidRDefault="00000000">
      <w:pPr>
        <w:numPr>
          <w:ilvl w:val="0"/>
          <w:numId w:val="9"/>
        </w:numPr>
      </w:pPr>
      <w:r>
        <w:rPr>
          <w:b/>
          <w:bCs/>
        </w:rPr>
        <w:t>Lecture 7:</w:t>
      </w:r>
      <w:r>
        <w:t xml:space="preserve"> The five architecture conditions combine with the convergence equation to prescribe a complete neural architecture — the SFM. Dual encoders, InfoNCE, symmetric loss, learned temperature all follow from the identity derived here.</w:t>
      </w:r>
    </w:p>
    <w:p w14:paraId="5113C913" w14:textId="77777777" w:rsidR="00D47D20" w:rsidRDefault="00000000">
      <w:pPr>
        <w:numPr>
          <w:ilvl w:val="0"/>
          <w:numId w:val="9"/>
        </w:numPr>
      </w:pPr>
      <w:r>
        <w:rPr>
          <w:b/>
          <w:bCs/>
        </w:rPr>
        <w:t>Lecture 8 onward:</w:t>
      </w:r>
      <w:r>
        <w:t xml:space="preserve"> The identity is applied across ten molecular recognition domains. Six are already prototyped (CALM, tSFM, crisprSFM, miR-SFM, mhcSFM, eSFM, dtSFM). Students build their own SFM using this identity as the foundation.</w:t>
      </w:r>
      <w:bookmarkEnd w:id="1"/>
      <w:bookmarkEnd w:id="23"/>
    </w:p>
    <w:sectPr w:rsidR="00D47D2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5FD54" w14:textId="77777777" w:rsidR="00BA4A0C" w:rsidRDefault="00BA4A0C">
      <w:r>
        <w:separator/>
      </w:r>
    </w:p>
  </w:endnote>
  <w:endnote w:type="continuationSeparator" w:id="0">
    <w:p w14:paraId="012DE9FA" w14:textId="77777777" w:rsidR="00BA4A0C" w:rsidRDefault="00BA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BCF2" w14:textId="77777777" w:rsidR="00D47D2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5656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D165" w14:textId="77777777" w:rsidR="00BA4A0C" w:rsidRDefault="00BA4A0C">
      <w:r>
        <w:separator/>
      </w:r>
    </w:p>
  </w:footnote>
  <w:footnote w:type="continuationSeparator" w:id="0">
    <w:p w14:paraId="3FFF2A1D" w14:textId="77777777" w:rsidR="00BA4A0C" w:rsidRDefault="00BA4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01A3" w14:textId="77777777" w:rsidR="00D47D20" w:rsidRDefault="00000000">
    <w:pPr>
      <w:pBdr>
        <w:bottom w:val="single" w:sz="4" w:space="4" w:color="999999"/>
      </w:pBdr>
    </w:pPr>
    <w:r>
      <w:rPr>
        <w:i/>
        <w:iCs/>
        <w:sz w:val="18"/>
        <w:szCs w:val="18"/>
      </w:rPr>
      <w:t>MRC Lecture 4 — Derivation Guide 3: Competitive Binding = Softmax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AEC9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C01C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A1071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653201E0"/>
    <w:multiLevelType w:val="hybridMultilevel"/>
    <w:tmpl w:val="5F7A35BA"/>
    <w:lvl w:ilvl="0" w:tplc="A352EBCE">
      <w:start w:val="1"/>
      <w:numFmt w:val="bullet"/>
      <w:lvlText w:val="●"/>
      <w:lvlJc w:val="left"/>
      <w:pPr>
        <w:ind w:left="720" w:hanging="360"/>
      </w:pPr>
    </w:lvl>
    <w:lvl w:ilvl="1" w:tplc="CEA41524">
      <w:start w:val="1"/>
      <w:numFmt w:val="bullet"/>
      <w:lvlText w:val="○"/>
      <w:lvlJc w:val="left"/>
      <w:pPr>
        <w:ind w:left="1440" w:hanging="360"/>
      </w:pPr>
    </w:lvl>
    <w:lvl w:ilvl="2" w:tplc="5C06EC88">
      <w:start w:val="1"/>
      <w:numFmt w:val="bullet"/>
      <w:lvlText w:val="■"/>
      <w:lvlJc w:val="left"/>
      <w:pPr>
        <w:ind w:left="2160" w:hanging="360"/>
      </w:pPr>
    </w:lvl>
    <w:lvl w:ilvl="3" w:tplc="CC626EC6">
      <w:start w:val="1"/>
      <w:numFmt w:val="bullet"/>
      <w:lvlText w:val="●"/>
      <w:lvlJc w:val="left"/>
      <w:pPr>
        <w:ind w:left="2880" w:hanging="360"/>
      </w:pPr>
    </w:lvl>
    <w:lvl w:ilvl="4" w:tplc="0C902B0E">
      <w:start w:val="1"/>
      <w:numFmt w:val="bullet"/>
      <w:lvlText w:val="○"/>
      <w:lvlJc w:val="left"/>
      <w:pPr>
        <w:ind w:left="3600" w:hanging="360"/>
      </w:pPr>
    </w:lvl>
    <w:lvl w:ilvl="5" w:tplc="2ADCBD40">
      <w:start w:val="1"/>
      <w:numFmt w:val="bullet"/>
      <w:lvlText w:val="■"/>
      <w:lvlJc w:val="left"/>
      <w:pPr>
        <w:ind w:left="4320" w:hanging="360"/>
      </w:pPr>
    </w:lvl>
    <w:lvl w:ilvl="6" w:tplc="E35A98CE">
      <w:start w:val="1"/>
      <w:numFmt w:val="bullet"/>
      <w:lvlText w:val="●"/>
      <w:lvlJc w:val="left"/>
      <w:pPr>
        <w:ind w:left="5040" w:hanging="360"/>
      </w:pPr>
    </w:lvl>
    <w:lvl w:ilvl="7" w:tplc="B8A4F024">
      <w:start w:val="1"/>
      <w:numFmt w:val="bullet"/>
      <w:lvlText w:val="●"/>
      <w:lvlJc w:val="left"/>
      <w:pPr>
        <w:ind w:left="5760" w:hanging="360"/>
      </w:pPr>
    </w:lvl>
    <w:lvl w:ilvl="8" w:tplc="2D186A1E">
      <w:start w:val="1"/>
      <w:numFmt w:val="bullet"/>
      <w:lvlText w:val="●"/>
      <w:lvlJc w:val="left"/>
      <w:pPr>
        <w:ind w:left="6480" w:hanging="360"/>
      </w:pPr>
    </w:lvl>
  </w:abstractNum>
  <w:num w:numId="1" w16cid:durableId="2089844656">
    <w:abstractNumId w:val="3"/>
    <w:lvlOverride w:ilvl="0">
      <w:startOverride w:val="1"/>
    </w:lvlOverride>
  </w:num>
  <w:num w:numId="2" w16cid:durableId="2096516136">
    <w:abstractNumId w:val="0"/>
  </w:num>
  <w:num w:numId="3" w16cid:durableId="1374890835">
    <w:abstractNumId w:val="1"/>
  </w:num>
  <w:num w:numId="4" w16cid:durableId="189341199">
    <w:abstractNumId w:val="1"/>
  </w:num>
  <w:num w:numId="5" w16cid:durableId="735787470">
    <w:abstractNumId w:val="1"/>
  </w:num>
  <w:num w:numId="6" w16cid:durableId="336274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7652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1394320">
    <w:abstractNumId w:val="1"/>
  </w:num>
  <w:num w:numId="9" w16cid:durableId="40857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D20"/>
    <w:rsid w:val="00556560"/>
    <w:rsid w:val="00BA4A0C"/>
    <w:rsid w:val="00C77BA5"/>
    <w:rsid w:val="00D4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66CC6BC"/>
  <w15:docId w15:val="{D7E3D813-0272-234D-B933-D57C22E0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2550</Words>
  <Characters>14540</Characters>
  <Application>Microsoft Office Word</Application>
  <DocSecurity>0</DocSecurity>
  <Lines>121</Lines>
  <Paragraphs>34</Paragraphs>
  <ScaleCrop>false</ScaleCrop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  Sai</dc:creator>
  <cp:keywords/>
  <cp:lastModifiedBy>Reddy  Sai</cp:lastModifiedBy>
  <cp:revision>2</cp:revision>
  <dcterms:created xsi:type="dcterms:W3CDTF">2026-04-21T11:15:00Z</dcterms:created>
  <dcterms:modified xsi:type="dcterms:W3CDTF">2026-04-21T11:15:00Z</dcterms:modified>
</cp:coreProperties>
</file>