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277BF" w14:textId="77777777" w:rsidR="00776E05" w:rsidRDefault="00000000">
      <w:pPr>
        <w:pStyle w:val="Heading1"/>
      </w:pPr>
      <w:bookmarkStart w:id="0" w:name="mrc-lecture-5-derivation-guide-1"/>
      <w:r>
        <w:t>MRC Lecture 5 — Derivation Guide 1</w:t>
      </w:r>
    </w:p>
    <w:p w14:paraId="0718A6F8" w14:textId="77777777" w:rsidR="00776E05" w:rsidRDefault="00000000">
      <w:pPr>
        <w:pStyle w:val="Heading1"/>
      </w:pPr>
      <w:bookmarkStart w:id="1" w:name="the-santalucia-nearest-neighbor-model"/>
      <w:bookmarkEnd w:id="0"/>
      <w:r>
        <w:t>The SantaLucia Nearest-Neighbor Model</w:t>
      </w:r>
    </w:p>
    <w:p w14:paraId="57CA1DA2" w14:textId="77777777" w:rsidR="00776E05" w:rsidRDefault="00000000">
      <w:r>
        <w:t>Sai T. Reddy — ETH Zurich / BIIE</w:t>
      </w:r>
    </w:p>
    <w:p w14:paraId="7FDFA9C3" w14:textId="77777777" w:rsidR="00776E05" w:rsidRDefault="004A711E">
      <w:r>
        <w:rPr>
          <w:noProof/>
        </w:rPr>
      </w:r>
      <w:r>
        <w:pict w14:anchorId="23E1DCBF">
          <v:rect id="Horizontal Line 1" o:spid="_x0000_s1037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2809CD8" w14:textId="77777777" w:rsidR="00776E05" w:rsidRDefault="00000000">
      <w:pPr>
        <w:pStyle w:val="Heading2"/>
      </w:pPr>
      <w:bookmarkStart w:id="2" w:name="motivation"/>
      <w:r>
        <w:t>1. Motivation</w:t>
      </w:r>
    </w:p>
    <w:p w14:paraId="5B0DDFD0" w14:textId="77777777" w:rsidR="00776E05" w:rsidRDefault="00000000">
      <w:r>
        <w:t xml:space="preserve">This guide derives the </w:t>
      </w:r>
      <w:r>
        <w:rPr>
          <w:b/>
          <w:bCs/>
        </w:rPr>
        <w:t>nearest-neighbor thermodynamic model</w:t>
      </w:r>
      <w:r>
        <w:t xml:space="preserve"> for DNA duplex stability and shows that it is a </w:t>
      </w:r>
      <w:r>
        <w:rPr>
          <w:b/>
          <w:bCs/>
        </w:rPr>
        <w:t>dot product</w:t>
      </w:r>
      <w:r>
        <w:t xml:space="preserve"> in raw sequence space. The model, finalized by SantaLucia (</w:t>
      </w:r>
      <w:r>
        <w:rPr>
          <w:i/>
          <w:iCs/>
        </w:rPr>
        <w:t>PNAS</w:t>
      </w:r>
      <w:r>
        <w:t xml:space="preserve">, 1998) after decades of experimental work, provides the 10 tabulated parameters used by every PCR primer design tool worldwide. The derivation is the prototypical example of </w:t>
      </w:r>
      <w:r>
        <w:rPr>
          <w:b/>
          <w:bCs/>
        </w:rPr>
        <w:t>given bilinearity</w:t>
      </w:r>
      <w:r>
        <w:t xml:space="preserve"> — the binding energy literally decomposes as a sum of per-position contributions, each of which is a product of agent and target features. No machine learning is required for the form; the physics already gives us the dot product.</w:t>
      </w:r>
    </w:p>
    <w:p w14:paraId="3E500422" w14:textId="77777777" w:rsidR="00776E05" w:rsidRDefault="00000000">
      <w:r>
        <w:t>By the end of this guide, students will have computed the free energy, dissociation constant, and melting temperature of a specific DNA duplex from scratch, and will see that the calculation is mathematically a dot product — exactly the form required by the convergence equation.</w:t>
      </w:r>
    </w:p>
    <w:p w14:paraId="1EBB5077" w14:textId="77777777" w:rsidR="00776E05" w:rsidRDefault="004A711E">
      <w:r>
        <w:rPr>
          <w:noProof/>
        </w:rPr>
      </w:r>
      <w:r>
        <w:pict w14:anchorId="4E1A65D9">
          <v:rect id="Horizontal Line 2" o:spid="_x0000_s1036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30A9CFB" w14:textId="77777777" w:rsidR="00776E05" w:rsidRDefault="00000000">
      <w:pPr>
        <w:pStyle w:val="Heading2"/>
      </w:pPr>
      <w:bookmarkStart w:id="3" w:name="the-physical-setup"/>
      <w:bookmarkEnd w:id="2"/>
      <w:r>
        <w:t>2. The Physical Setup</w:t>
      </w:r>
    </w:p>
    <w:p w14:paraId="1935020F" w14:textId="77777777" w:rsidR="00776E05" w:rsidRDefault="00000000">
      <w:r>
        <w:t>Two complementary DNA single strands associate to form a double-stranded duplex:</w:t>
      </w:r>
    </w:p>
    <w:p w14:paraId="219CA7C2" w14:textId="77777777" w:rsidR="00776E05" w:rsidRDefault="00000000">
      <m:oMathPara>
        <m:oMathParaPr>
          <m:jc m:val="center"/>
        </m:oMathParaPr>
        <m:oMath>
          <m:r>
            <m:rPr>
              <m:nor/>
            </m:rPr>
            <m:t>5’-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…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m:rPr>
              <m:nor/>
            </m:rPr>
            <m:t>-3’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nor/>
            </m:rPr>
            <m:t>3’-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'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'…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'</m:t>
          </m:r>
          <m:r>
            <m:rPr>
              <m:nor/>
            </m:rPr>
            <m:t>-5’</m:t>
          </m:r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⇌</m:t>
          </m:r>
          <m:r>
            <w:rPr>
              <w:rFonts w:ascii="Cambria Math" w:hAnsi="Cambria Math"/>
            </w:rPr>
            <m:t> </m:t>
          </m:r>
          <m:r>
            <m:rPr>
              <m:nor/>
            </m:rPr>
            <m:t>duplex</m:t>
          </m:r>
        </m:oMath>
      </m:oMathPara>
    </w:p>
    <w:p w14:paraId="11DC7AB2" w14:textId="77777777" w:rsidR="00776E05" w:rsidRDefault="00000000">
      <w: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'∈{</m:t>
        </m:r>
        <m:r>
          <m:rPr>
            <m:nor/>
          </m:rPr>
          <m:t>A-T, T-A, G-C, C-G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forms a Watson-Crick base pair at position </w:t>
      </w:r>
      <m:oMath>
        <m:r>
          <w:rPr>
            <w:rFonts w:ascii="Cambria Math" w:hAnsi="Cambria Math"/>
          </w:rPr>
          <m:t>i</m:t>
        </m:r>
      </m:oMath>
      <w:r>
        <w:t>. For our purposes, the two strands are perfectly complementary (no mismatches).</w:t>
      </w:r>
    </w:p>
    <w:p w14:paraId="525BC180" w14:textId="77777777" w:rsidR="00776E05" w:rsidRDefault="00000000">
      <w:r>
        <w:rPr>
          <w:b/>
          <w:bCs/>
        </w:rPr>
        <w:t>The question.</w:t>
      </w:r>
      <w:r>
        <w:t xml:space="preserve"> What is the free energy change </w:t>
      </w:r>
      <m:oMath>
        <m:r>
          <w:rPr>
            <w:rFonts w:ascii="Cambria Math" w:hAnsi="Cambria Math"/>
          </w:rPr>
          <m:t>ΔG</m:t>
        </m:r>
      </m:oMath>
      <w:r>
        <w:t xml:space="preserve"> of duplex formation, and how does it depend on the sequence?</w:t>
      </w:r>
    </w:p>
    <w:p w14:paraId="251B263D" w14:textId="77777777" w:rsidR="00776E05" w:rsidRDefault="00000000">
      <w:r>
        <w:rPr>
          <w:b/>
          <w:bCs/>
        </w:rPr>
        <w:t>The answer (SantaLucia 1998).</w:t>
      </w:r>
      <w:r>
        <w:t xml:space="preserve"> The free energy decomposes as a sum of </w:t>
      </w:r>
      <w:r>
        <w:rPr>
          <w:b/>
          <w:bCs/>
        </w:rPr>
        <w:t>nearest-neighbor</w:t>
      </w:r>
      <w:r>
        <w:t xml:space="preserve"> contributions plus an initiation penalty:</w:t>
      </w:r>
    </w:p>
    <w:p w14:paraId="1D96CABA" w14:textId="77777777" w:rsidR="00776E05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nor/>
                </m:rPr>
                <m:t>duplex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nor/>
                </m:rPr>
                <m:t>init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Δ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nor/>
                </m:rPr>
                <m:t>NN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</m:d>
        </m:oMath>
      </m:oMathPara>
    </w:p>
    <w:p w14:paraId="3CEC0FDF" w14:textId="77777777" w:rsidR="00776E05" w:rsidRDefault="00000000">
      <w:r>
        <w:t xml:space="preserve">where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m:rPr>
                <m:nor/>
              </m:rPr>
              <m:t>NN</m:t>
            </m:r>
          </m:sub>
        </m:sSub>
      </m:oMath>
      <w:r>
        <w:t xml:space="preserve"> is the free energy contribution of the dinucleotide stack at positions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t>. A 6-base-pair duplex has 5 nearest-neighbor pairs (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>).</w:t>
      </w:r>
    </w:p>
    <w:p w14:paraId="4729B0BC" w14:textId="77777777" w:rsidR="00776E05" w:rsidRDefault="004A711E">
      <w:r>
        <w:rPr>
          <w:noProof/>
        </w:rPr>
      </w:r>
      <w:r>
        <w:pict w14:anchorId="0364283B">
          <v:rect id="Horizontal Line 3" o:spid="_x0000_s1035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56DE428" w14:textId="77777777" w:rsidR="00776E05" w:rsidRDefault="00000000">
      <w:pPr>
        <w:pStyle w:val="Heading2"/>
      </w:pPr>
      <w:bookmarkStart w:id="4" w:name="the-ten-nearest-neighbor-parameters"/>
      <w:bookmarkEnd w:id="3"/>
      <w:r>
        <w:t>3. The Ten Nearest-Neighbor Parameters</w:t>
      </w:r>
    </w:p>
    <w:p w14:paraId="03D68D6E" w14:textId="77777777" w:rsidR="00776E05" w:rsidRDefault="00000000">
      <w:r>
        <w:t>By symmetry (each NN pair can be read in two directions: 5’→3’ on one strand, 3’→5’ on the other), the 16 possible dinucleotides reduce to 10 unique parameters. At 37°C and 1 M NaCl: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20" w:firstRow="1" w:lastRow="0" w:firstColumn="0" w:lastColumn="0" w:noHBand="0" w:noVBand="0"/>
      </w:tblPr>
      <w:tblGrid>
        <w:gridCol w:w="3294"/>
        <w:gridCol w:w="1866"/>
        <w:gridCol w:w="1866"/>
        <w:gridCol w:w="1990"/>
      </w:tblGrid>
      <w:tr w:rsidR="00776E05" w14:paraId="0C475C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58FC5F98" w14:textId="77777777" w:rsidR="00776E05" w:rsidRDefault="00000000">
            <w:r>
              <w:t>NN pair (5’→3’ / 3’→5’)</w:t>
            </w:r>
          </w:p>
        </w:tc>
        <w:tc>
          <w:tcPr>
            <w:tcW w:w="0" w:type="auto"/>
          </w:tcPr>
          <w:p w14:paraId="64EC319E" w14:textId="77777777" w:rsidR="00776E05" w:rsidRDefault="00000000">
            <w:r>
              <w:t>ΔG (kcal/mol)</w:t>
            </w:r>
          </w:p>
        </w:tc>
        <w:tc>
          <w:tcPr>
            <w:tcW w:w="0" w:type="auto"/>
          </w:tcPr>
          <w:p w14:paraId="54386DB6" w14:textId="77777777" w:rsidR="00776E05" w:rsidRDefault="00000000">
            <w:r>
              <w:t>ΔH (kcal/mol)</w:t>
            </w:r>
          </w:p>
        </w:tc>
        <w:tc>
          <w:tcPr>
            <w:tcW w:w="0" w:type="auto"/>
          </w:tcPr>
          <w:p w14:paraId="13D5CDDD" w14:textId="77777777" w:rsidR="00776E05" w:rsidRDefault="00000000">
            <w:r>
              <w:t>ΔS (cal/mol·K)</w:t>
            </w:r>
          </w:p>
        </w:tc>
      </w:tr>
      <w:tr w:rsidR="00776E05" w14:paraId="38DF93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8B80DBC" w14:textId="77777777" w:rsidR="00776E05" w:rsidRDefault="00000000">
            <w:r>
              <w:t>AA/TT</w:t>
            </w:r>
          </w:p>
        </w:tc>
        <w:tc>
          <w:tcPr>
            <w:tcW w:w="0" w:type="auto"/>
          </w:tcPr>
          <w:p w14:paraId="37F3A8F5" w14:textId="77777777" w:rsidR="00776E05" w:rsidRDefault="00000000">
            <w:r>
              <w:t>−1.00</w:t>
            </w:r>
          </w:p>
        </w:tc>
        <w:tc>
          <w:tcPr>
            <w:tcW w:w="0" w:type="auto"/>
          </w:tcPr>
          <w:p w14:paraId="19A599AB" w14:textId="77777777" w:rsidR="00776E05" w:rsidRDefault="00000000">
            <w:r>
              <w:t>−7.9</w:t>
            </w:r>
          </w:p>
        </w:tc>
        <w:tc>
          <w:tcPr>
            <w:tcW w:w="0" w:type="auto"/>
          </w:tcPr>
          <w:p w14:paraId="010506B9" w14:textId="77777777" w:rsidR="00776E05" w:rsidRDefault="00000000">
            <w:r>
              <w:t>−22.2</w:t>
            </w:r>
          </w:p>
        </w:tc>
      </w:tr>
      <w:tr w:rsidR="00776E05" w14:paraId="333F26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4216A0C" w14:textId="77777777" w:rsidR="00776E05" w:rsidRDefault="00000000">
            <w:r>
              <w:t>AT/AT</w:t>
            </w:r>
          </w:p>
        </w:tc>
        <w:tc>
          <w:tcPr>
            <w:tcW w:w="0" w:type="auto"/>
          </w:tcPr>
          <w:p w14:paraId="40EE4B91" w14:textId="77777777" w:rsidR="00776E05" w:rsidRDefault="00000000">
            <w:r>
              <w:t>−0.88</w:t>
            </w:r>
          </w:p>
        </w:tc>
        <w:tc>
          <w:tcPr>
            <w:tcW w:w="0" w:type="auto"/>
          </w:tcPr>
          <w:p w14:paraId="10D5C13C" w14:textId="77777777" w:rsidR="00776E05" w:rsidRDefault="00000000">
            <w:r>
              <w:t>−7.2</w:t>
            </w:r>
          </w:p>
        </w:tc>
        <w:tc>
          <w:tcPr>
            <w:tcW w:w="0" w:type="auto"/>
          </w:tcPr>
          <w:p w14:paraId="7362E02D" w14:textId="77777777" w:rsidR="00776E05" w:rsidRDefault="00000000">
            <w:r>
              <w:t>−20.4</w:t>
            </w:r>
          </w:p>
        </w:tc>
      </w:tr>
      <w:tr w:rsidR="00776E05" w14:paraId="197049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8A90BC8" w14:textId="77777777" w:rsidR="00776E05" w:rsidRDefault="00000000">
            <w:r>
              <w:t>TA/TA</w:t>
            </w:r>
          </w:p>
        </w:tc>
        <w:tc>
          <w:tcPr>
            <w:tcW w:w="0" w:type="auto"/>
          </w:tcPr>
          <w:p w14:paraId="2835B34D" w14:textId="77777777" w:rsidR="00776E05" w:rsidRDefault="00000000">
            <w:r>
              <w:t>−0.58</w:t>
            </w:r>
          </w:p>
        </w:tc>
        <w:tc>
          <w:tcPr>
            <w:tcW w:w="0" w:type="auto"/>
          </w:tcPr>
          <w:p w14:paraId="2F2C5AEE" w14:textId="77777777" w:rsidR="00776E05" w:rsidRDefault="00000000">
            <w:r>
              <w:t>−7.2</w:t>
            </w:r>
          </w:p>
        </w:tc>
        <w:tc>
          <w:tcPr>
            <w:tcW w:w="0" w:type="auto"/>
          </w:tcPr>
          <w:p w14:paraId="53A91AA7" w14:textId="77777777" w:rsidR="00776E05" w:rsidRDefault="00000000">
            <w:r>
              <w:t>−21.3</w:t>
            </w:r>
          </w:p>
        </w:tc>
      </w:tr>
      <w:tr w:rsidR="00776E05" w14:paraId="7C8FEC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3BB66AE" w14:textId="77777777" w:rsidR="00776E05" w:rsidRDefault="00000000">
            <w:r>
              <w:t>CA/TG</w:t>
            </w:r>
          </w:p>
        </w:tc>
        <w:tc>
          <w:tcPr>
            <w:tcW w:w="0" w:type="auto"/>
          </w:tcPr>
          <w:p w14:paraId="475ED848" w14:textId="77777777" w:rsidR="00776E05" w:rsidRDefault="00000000">
            <w:r>
              <w:t>−1.45</w:t>
            </w:r>
          </w:p>
        </w:tc>
        <w:tc>
          <w:tcPr>
            <w:tcW w:w="0" w:type="auto"/>
          </w:tcPr>
          <w:p w14:paraId="1C9C2F67" w14:textId="77777777" w:rsidR="00776E05" w:rsidRDefault="00000000">
            <w:r>
              <w:t>−8.5</w:t>
            </w:r>
          </w:p>
        </w:tc>
        <w:tc>
          <w:tcPr>
            <w:tcW w:w="0" w:type="auto"/>
          </w:tcPr>
          <w:p w14:paraId="2ED355D1" w14:textId="77777777" w:rsidR="00776E05" w:rsidRDefault="00000000">
            <w:r>
              <w:t>−22.7</w:t>
            </w:r>
          </w:p>
        </w:tc>
      </w:tr>
      <w:tr w:rsidR="00776E05" w14:paraId="2A0A6D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B2419" w14:textId="77777777" w:rsidR="00776E05" w:rsidRDefault="00000000">
            <w:r>
              <w:t>GT/AC</w:t>
            </w:r>
          </w:p>
        </w:tc>
        <w:tc>
          <w:tcPr>
            <w:tcW w:w="0" w:type="auto"/>
          </w:tcPr>
          <w:p w14:paraId="6724A786" w14:textId="77777777" w:rsidR="00776E05" w:rsidRDefault="00000000">
            <w:r>
              <w:t>−1.44</w:t>
            </w:r>
          </w:p>
        </w:tc>
        <w:tc>
          <w:tcPr>
            <w:tcW w:w="0" w:type="auto"/>
          </w:tcPr>
          <w:p w14:paraId="043BB4B9" w14:textId="77777777" w:rsidR="00776E05" w:rsidRDefault="00000000">
            <w:r>
              <w:t>−8.4</w:t>
            </w:r>
          </w:p>
        </w:tc>
        <w:tc>
          <w:tcPr>
            <w:tcW w:w="0" w:type="auto"/>
          </w:tcPr>
          <w:p w14:paraId="0190C60C" w14:textId="77777777" w:rsidR="00776E05" w:rsidRDefault="00000000">
            <w:r>
              <w:t>−22.4</w:t>
            </w:r>
          </w:p>
        </w:tc>
      </w:tr>
      <w:tr w:rsidR="00776E05" w14:paraId="07534F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1BDCCD" w14:textId="77777777" w:rsidR="00776E05" w:rsidRDefault="00000000">
            <w:r>
              <w:t>CT/GA</w:t>
            </w:r>
          </w:p>
        </w:tc>
        <w:tc>
          <w:tcPr>
            <w:tcW w:w="0" w:type="auto"/>
          </w:tcPr>
          <w:p w14:paraId="60F295BA" w14:textId="77777777" w:rsidR="00776E05" w:rsidRDefault="00000000">
            <w:r>
              <w:t>−1.28</w:t>
            </w:r>
          </w:p>
        </w:tc>
        <w:tc>
          <w:tcPr>
            <w:tcW w:w="0" w:type="auto"/>
          </w:tcPr>
          <w:p w14:paraId="5566DC5B" w14:textId="77777777" w:rsidR="00776E05" w:rsidRDefault="00000000">
            <w:r>
              <w:t>−7.8</w:t>
            </w:r>
          </w:p>
        </w:tc>
        <w:tc>
          <w:tcPr>
            <w:tcW w:w="0" w:type="auto"/>
          </w:tcPr>
          <w:p w14:paraId="66207C74" w14:textId="77777777" w:rsidR="00776E05" w:rsidRDefault="00000000">
            <w:r>
              <w:t>−21.0</w:t>
            </w:r>
          </w:p>
        </w:tc>
      </w:tr>
      <w:tr w:rsidR="00776E05" w14:paraId="3DDE0F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21CACED" w14:textId="77777777" w:rsidR="00776E05" w:rsidRDefault="00000000">
            <w:r>
              <w:t>GA/CT</w:t>
            </w:r>
          </w:p>
        </w:tc>
        <w:tc>
          <w:tcPr>
            <w:tcW w:w="0" w:type="auto"/>
          </w:tcPr>
          <w:p w14:paraId="4122BD04" w14:textId="77777777" w:rsidR="00776E05" w:rsidRDefault="00000000">
            <w:r>
              <w:t>−1.30</w:t>
            </w:r>
          </w:p>
        </w:tc>
        <w:tc>
          <w:tcPr>
            <w:tcW w:w="0" w:type="auto"/>
          </w:tcPr>
          <w:p w14:paraId="6CBA0FC7" w14:textId="77777777" w:rsidR="00776E05" w:rsidRDefault="00000000">
            <w:r>
              <w:t>−8.2</w:t>
            </w:r>
          </w:p>
        </w:tc>
        <w:tc>
          <w:tcPr>
            <w:tcW w:w="0" w:type="auto"/>
          </w:tcPr>
          <w:p w14:paraId="38FC3084" w14:textId="77777777" w:rsidR="00776E05" w:rsidRDefault="00000000">
            <w:r>
              <w:t>−22.2</w:t>
            </w:r>
          </w:p>
        </w:tc>
      </w:tr>
      <w:tr w:rsidR="00776E05" w14:paraId="2D9C19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AF5EF14" w14:textId="77777777" w:rsidR="00776E05" w:rsidRDefault="00000000">
            <w:r>
              <w:t>CG/CG</w:t>
            </w:r>
          </w:p>
        </w:tc>
        <w:tc>
          <w:tcPr>
            <w:tcW w:w="0" w:type="auto"/>
          </w:tcPr>
          <w:p w14:paraId="17E18033" w14:textId="77777777" w:rsidR="00776E05" w:rsidRDefault="00000000">
            <w:r>
              <w:t>−2.17</w:t>
            </w:r>
          </w:p>
        </w:tc>
        <w:tc>
          <w:tcPr>
            <w:tcW w:w="0" w:type="auto"/>
          </w:tcPr>
          <w:p w14:paraId="40FFE544" w14:textId="77777777" w:rsidR="00776E05" w:rsidRDefault="00000000">
            <w:r>
              <w:t>−10.6</w:t>
            </w:r>
          </w:p>
        </w:tc>
        <w:tc>
          <w:tcPr>
            <w:tcW w:w="0" w:type="auto"/>
          </w:tcPr>
          <w:p w14:paraId="340B3925" w14:textId="77777777" w:rsidR="00776E05" w:rsidRDefault="00000000">
            <w:r>
              <w:t>−27.2</w:t>
            </w:r>
          </w:p>
        </w:tc>
      </w:tr>
      <w:tr w:rsidR="00776E05" w14:paraId="31EBC3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883AF82" w14:textId="77777777" w:rsidR="00776E05" w:rsidRDefault="00000000">
            <w:r>
              <w:t>GC/GC</w:t>
            </w:r>
          </w:p>
        </w:tc>
        <w:tc>
          <w:tcPr>
            <w:tcW w:w="0" w:type="auto"/>
          </w:tcPr>
          <w:p w14:paraId="4EF0F6D3" w14:textId="77777777" w:rsidR="00776E05" w:rsidRDefault="00000000">
            <w:r>
              <w:t>−2.24</w:t>
            </w:r>
          </w:p>
        </w:tc>
        <w:tc>
          <w:tcPr>
            <w:tcW w:w="0" w:type="auto"/>
          </w:tcPr>
          <w:p w14:paraId="0D39EC60" w14:textId="77777777" w:rsidR="00776E05" w:rsidRDefault="00000000">
            <w:r>
              <w:t>−9.8</w:t>
            </w:r>
          </w:p>
        </w:tc>
        <w:tc>
          <w:tcPr>
            <w:tcW w:w="0" w:type="auto"/>
          </w:tcPr>
          <w:p w14:paraId="022DCBB0" w14:textId="77777777" w:rsidR="00776E05" w:rsidRDefault="00000000">
            <w:r>
              <w:t>−24.4</w:t>
            </w:r>
          </w:p>
        </w:tc>
      </w:tr>
      <w:tr w:rsidR="00776E05" w14:paraId="484513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CC65746" w14:textId="77777777" w:rsidR="00776E05" w:rsidRDefault="00000000">
            <w:r>
              <w:t>GG/CC</w:t>
            </w:r>
          </w:p>
        </w:tc>
        <w:tc>
          <w:tcPr>
            <w:tcW w:w="0" w:type="auto"/>
          </w:tcPr>
          <w:p w14:paraId="200EDC51" w14:textId="77777777" w:rsidR="00776E05" w:rsidRDefault="00000000">
            <w:r>
              <w:t>−1.84</w:t>
            </w:r>
          </w:p>
        </w:tc>
        <w:tc>
          <w:tcPr>
            <w:tcW w:w="0" w:type="auto"/>
          </w:tcPr>
          <w:p w14:paraId="7526D8A1" w14:textId="77777777" w:rsidR="00776E05" w:rsidRDefault="00000000">
            <w:r>
              <w:t>−8.0</w:t>
            </w:r>
          </w:p>
        </w:tc>
        <w:tc>
          <w:tcPr>
            <w:tcW w:w="0" w:type="auto"/>
          </w:tcPr>
          <w:p w14:paraId="6E518415" w14:textId="77777777" w:rsidR="00776E05" w:rsidRDefault="00000000">
            <w:r>
              <w:t>−19.9</w:t>
            </w:r>
          </w:p>
        </w:tc>
      </w:tr>
    </w:tbl>
    <w:p w14:paraId="1D0B5CFE" w14:textId="77777777" w:rsidR="00776E05" w:rsidRDefault="00000000">
      <w:r>
        <w:rPr>
          <w:b/>
          <w:bCs/>
        </w:rPr>
        <w:t>Plus initiation parameters:</w:t>
      </w:r>
    </w:p>
    <w:p w14:paraId="57FB372A" w14:textId="77777777" w:rsidR="00776E05" w:rsidRDefault="00000000">
      <w:pPr>
        <w:numPr>
          <w:ilvl w:val="0"/>
          <w:numId w:val="3"/>
        </w:numPr>
      </w:pPr>
      <w:r>
        <w:lastRenderedPageBreak/>
        <w:t xml:space="preserve">Initiation with terminal G·C: </w:t>
      </w:r>
      <m:oMath>
        <m:r>
          <w:rPr>
            <w:rFonts w:ascii="Cambria Math" w:hAnsi="Cambria Math"/>
          </w:rPr>
          <m:t>ΔG</m:t>
        </m:r>
        <m:r>
          <m:rPr>
            <m:sty m:val="p"/>
          </m:rPr>
          <w:rPr>
            <w:rFonts w:ascii="Cambria Math" w:hAnsi="Cambria Math"/>
          </w:rPr>
          <m:t>=+</m:t>
        </m:r>
        <m:r>
          <w:rPr>
            <w:rFonts w:ascii="Cambria Math" w:hAnsi="Cambria Math"/>
          </w:rPr>
          <m:t>0.98</m:t>
        </m:r>
      </m:oMath>
      <w:r>
        <w:t xml:space="preserve"> kcal/mol</w:t>
      </w:r>
    </w:p>
    <w:p w14:paraId="5B803D9E" w14:textId="77777777" w:rsidR="00776E05" w:rsidRDefault="00000000">
      <w:pPr>
        <w:numPr>
          <w:ilvl w:val="0"/>
          <w:numId w:val="3"/>
        </w:numPr>
      </w:pPr>
      <w:r>
        <w:t xml:space="preserve">Initiation with terminal A·T: </w:t>
      </w:r>
      <m:oMath>
        <m:r>
          <w:rPr>
            <w:rFonts w:ascii="Cambria Math" w:hAnsi="Cambria Math"/>
          </w:rPr>
          <m:t>ΔG</m:t>
        </m:r>
        <m:r>
          <m:rPr>
            <m:sty m:val="p"/>
          </m:rPr>
          <w:rPr>
            <w:rFonts w:ascii="Cambria Math" w:hAnsi="Cambria Math"/>
          </w:rPr>
          <m:t>=+</m:t>
        </m:r>
        <m:r>
          <w:rPr>
            <w:rFonts w:ascii="Cambria Math" w:hAnsi="Cambria Math"/>
          </w:rPr>
          <m:t>1.03</m:t>
        </m:r>
      </m:oMath>
      <w:r>
        <w:t xml:space="preserve"> kcal/mol</w:t>
      </w:r>
    </w:p>
    <w:p w14:paraId="61C8BDCC" w14:textId="77777777" w:rsidR="00776E05" w:rsidRDefault="00000000">
      <w:pPr>
        <w:numPr>
          <w:ilvl w:val="0"/>
          <w:numId w:val="3"/>
        </w:numPr>
      </w:pPr>
      <w:r>
        <w:t>For a duplex with both ends: sum both initiation terms (~+1.96 kcal/mol typical)</w:t>
      </w:r>
    </w:p>
    <w:p w14:paraId="6D262E6C" w14:textId="77777777" w:rsidR="00776E05" w:rsidRDefault="00000000">
      <w:r>
        <w:rPr>
          <w:b/>
          <w:bCs/>
        </w:rPr>
        <w:t>Key observations about the table:</w:t>
      </w:r>
    </w:p>
    <w:p w14:paraId="6CCFD3FA" w14:textId="77777777" w:rsidR="00776E05" w:rsidRDefault="00000000">
      <w:pPr>
        <w:numPr>
          <w:ilvl w:val="0"/>
          <w:numId w:val="4"/>
        </w:numPr>
      </w:pPr>
      <w:r>
        <w:t xml:space="preserve">All </w:t>
      </w:r>
      <m:oMath>
        <m:r>
          <w:rPr>
            <w:rFonts w:ascii="Cambria Math" w:hAnsi="Cambria Math"/>
          </w:rPr>
          <m:t>ΔG</m:t>
        </m:r>
      </m:oMath>
      <w:r>
        <w:t xml:space="preserve"> values are negative (duplex formation is favorable at 37°C)</w:t>
      </w:r>
    </w:p>
    <w:p w14:paraId="7C04097D" w14:textId="77777777" w:rsidR="00776E05" w:rsidRDefault="00000000">
      <w:pPr>
        <w:numPr>
          <w:ilvl w:val="0"/>
          <w:numId w:val="4"/>
        </w:numPr>
      </w:pPr>
      <w:r>
        <w:t>GC-rich pairs (CG/CG, GC/GC) are most stable (~−2.2 kcal/mol) — both stronger hydrogen bonding (3 H-bonds) and favorable stacking</w:t>
      </w:r>
    </w:p>
    <w:p w14:paraId="41ED015D" w14:textId="77777777" w:rsidR="00776E05" w:rsidRDefault="00000000">
      <w:pPr>
        <w:numPr>
          <w:ilvl w:val="0"/>
          <w:numId w:val="4"/>
        </w:numPr>
      </w:pPr>
      <w:r>
        <w:t>AT-rich pairs (TA/TA, AT/AT) are least stable (~−0.6 to −0.9 kcal/mol) — fewer H-bonds, less favorable stacking</w:t>
      </w:r>
    </w:p>
    <w:p w14:paraId="3C5A177D" w14:textId="77777777" w:rsidR="00776E05" w:rsidRDefault="00000000">
      <w:pPr>
        <w:numPr>
          <w:ilvl w:val="0"/>
          <w:numId w:val="4"/>
        </w:numPr>
      </w:pPr>
      <w:r>
        <w:t>The dynamic range is about 1.6 kcal/mol per NN pair</w:t>
      </w:r>
    </w:p>
    <w:p w14:paraId="6743F3EB" w14:textId="77777777" w:rsidR="00776E05" w:rsidRDefault="004A711E">
      <w:r>
        <w:rPr>
          <w:noProof/>
        </w:rPr>
      </w:r>
      <w:r>
        <w:pict w14:anchorId="6428B1D8">
          <v:rect id="Horizontal Line 4" o:spid="_x0000_s1034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4F17296" w14:textId="77777777" w:rsidR="00776E05" w:rsidRDefault="00000000">
      <w:pPr>
        <w:pStyle w:val="Heading2"/>
      </w:pPr>
      <w:bookmarkStart w:id="5" w:name="worked-example-a-6-base-pair-duplex"/>
      <w:bookmarkEnd w:id="4"/>
      <w:r>
        <w:t>4. Worked Example: A 6-Base-Pair Duplex</w:t>
      </w:r>
    </w:p>
    <w:p w14:paraId="2DC5B3C5" w14:textId="77777777" w:rsidR="00776E05" w:rsidRDefault="00000000">
      <w:r>
        <w:rPr>
          <w:b/>
          <w:bCs/>
        </w:rPr>
        <w:t>The duplex:</w:t>
      </w:r>
    </w:p>
    <w:p w14:paraId="148E46CA" w14:textId="77777777" w:rsidR="00776E05" w:rsidRDefault="00000000">
      <w:r>
        <w:t>5’-GCATGC-3’ 3’-CGTACG-5’</w:t>
      </w:r>
    </w:p>
    <w:p w14:paraId="313E6C08" w14:textId="77777777" w:rsidR="00776E05" w:rsidRDefault="00000000">
      <w:r>
        <w:t>This is a palindrome (reads the same on both strands 5’→3’), which simplifies the NN identification.</w:t>
      </w:r>
    </w:p>
    <w:p w14:paraId="42C32EAC" w14:textId="77777777" w:rsidR="00776E05" w:rsidRDefault="00000000">
      <w:pPr>
        <w:pStyle w:val="Heading3"/>
      </w:pPr>
      <w:bookmarkStart w:id="6" w:name="X72ceafbccd62811008472abd318e5d2c6d6ec04"/>
      <w:r>
        <w:t>Step 1: Identify the nearest-neighbor pairs.</w:t>
      </w:r>
    </w:p>
    <w:p w14:paraId="54E24610" w14:textId="77777777" w:rsidR="00776E05" w:rsidRDefault="00000000">
      <w:r>
        <w:t>Reading the top strand 5’→3’ and tracking each adjacent-pair window:</w:t>
      </w:r>
    </w:p>
    <w:p w14:paraId="07A6BBE4" w14:textId="77777777" w:rsidR="00776E05" w:rsidRDefault="00000000">
      <w:pPr>
        <w:numPr>
          <w:ilvl w:val="0"/>
          <w:numId w:val="5"/>
        </w:numPr>
      </w:pPr>
      <w:r>
        <w:t xml:space="preserve">Positions 1-2: GC (top) / CG (bottom) → </w:t>
      </w:r>
      <w:r>
        <w:rPr>
          <w:b/>
          <w:bCs/>
        </w:rPr>
        <w:t>GC/CG</w:t>
      </w:r>
      <w:r>
        <w:t xml:space="preserve"> pair</w:t>
      </w:r>
    </w:p>
    <w:p w14:paraId="2282D8C5" w14:textId="77777777" w:rsidR="00776E05" w:rsidRDefault="00000000">
      <w:pPr>
        <w:numPr>
          <w:ilvl w:val="0"/>
          <w:numId w:val="5"/>
        </w:numPr>
      </w:pPr>
      <w:r>
        <w:t xml:space="preserve">Positions 2-3: CA (top) / GT (bottom) → </w:t>
      </w:r>
      <w:r>
        <w:rPr>
          <w:b/>
          <w:bCs/>
        </w:rPr>
        <w:t>CA/GT</w:t>
      </w:r>
      <w:r>
        <w:t xml:space="preserve"> pair (same as GT/AC by symmetry, tabulated as GT/AC)</w:t>
      </w:r>
    </w:p>
    <w:p w14:paraId="10C2C739" w14:textId="77777777" w:rsidR="00776E05" w:rsidRDefault="00000000">
      <w:pPr>
        <w:numPr>
          <w:ilvl w:val="0"/>
          <w:numId w:val="5"/>
        </w:numPr>
      </w:pPr>
      <w:r>
        <w:t xml:space="preserve">Positions 3-4: AT (top) / TA (bottom) → </w:t>
      </w:r>
      <w:r>
        <w:rPr>
          <w:b/>
          <w:bCs/>
        </w:rPr>
        <w:t>AT/AT</w:t>
      </w:r>
      <w:r>
        <w:t xml:space="preserve"> pair</w:t>
      </w:r>
    </w:p>
    <w:p w14:paraId="1B619E64" w14:textId="77777777" w:rsidR="00776E05" w:rsidRDefault="00000000">
      <w:pPr>
        <w:numPr>
          <w:ilvl w:val="0"/>
          <w:numId w:val="5"/>
        </w:numPr>
      </w:pPr>
      <w:r>
        <w:t xml:space="preserve">Positions 4-5: TG (top) / AC (bottom) → </w:t>
      </w:r>
      <w:r>
        <w:rPr>
          <w:b/>
          <w:bCs/>
        </w:rPr>
        <w:t>TG/AC</w:t>
      </w:r>
      <w:r>
        <w:t xml:space="preserve"> pair (same as CA/TG by symmetry)</w:t>
      </w:r>
    </w:p>
    <w:p w14:paraId="0B061D27" w14:textId="77777777" w:rsidR="00776E05" w:rsidRDefault="00000000">
      <w:pPr>
        <w:numPr>
          <w:ilvl w:val="0"/>
          <w:numId w:val="5"/>
        </w:numPr>
      </w:pPr>
      <w:r>
        <w:t xml:space="preserve">Positions 5-6: GC (top) / CG (bottom) → </w:t>
      </w:r>
      <w:r>
        <w:rPr>
          <w:b/>
          <w:bCs/>
        </w:rPr>
        <w:t>GC/CG</w:t>
      </w:r>
      <w:r>
        <w:t xml:space="preserve"> pair</w:t>
      </w:r>
    </w:p>
    <w:p w14:paraId="049904D6" w14:textId="77777777" w:rsidR="00776E05" w:rsidRDefault="00000000">
      <w:r>
        <w:t>So we have 5 NN pairs: GC/CG, GT/AC, AT/AT, CA/TG, GC/CG.</w:t>
      </w:r>
    </w:p>
    <w:p w14:paraId="7D5B4AE6" w14:textId="77777777" w:rsidR="00776E05" w:rsidRDefault="00000000">
      <w:r>
        <w:rPr>
          <w:b/>
          <w:bCs/>
        </w:rPr>
        <w:t>Note on symmetry.</w:t>
      </w:r>
      <w:r>
        <w:t xml:space="preserve"> When identifying NN pairs, remember that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m:rPr>
                <m:nor/>
              </m:rPr>
              <m:t>NN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XY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</m:d>
      </m:oMath>
      <w:r>
        <w:t xml:space="preserve"> equals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m:rPr>
                <m:nor/>
              </m:rPr>
              <m:t>NN</m:t>
            </m:r>
          </m:sub>
        </m:sSub>
      </m:oMath>
      <w:r>
        <w:t xml:space="preserve"> read in the other direction. So CA/TG and its reverse GT/AC are the same parameter — but the table lists both forms depending on the convention used. For safety, always write out both strands and look up exactly what’s there.</w:t>
      </w:r>
    </w:p>
    <w:p w14:paraId="32554C7F" w14:textId="77777777" w:rsidR="00776E05" w:rsidRDefault="00000000">
      <w:pPr>
        <w:pStyle w:val="Heading3"/>
      </w:pPr>
      <w:bookmarkStart w:id="7" w:name="step-2-look-up-each-parameter."/>
      <w:bookmarkEnd w:id="6"/>
      <w:r>
        <w:t>Step 2: Look up each parameter.</w:t>
      </w:r>
    </w:p>
    <w:p w14:paraId="0D64700B" w14:textId="77777777" w:rsidR="00776E05" w:rsidRDefault="00000000">
      <w:pPr>
        <w:numPr>
          <w:ilvl w:val="0"/>
          <w:numId w:val="6"/>
        </w:numPr>
      </w:pPr>
      <w:r>
        <w:t xml:space="preserve">GC/CG = </w:t>
      </w:r>
      <w:r>
        <w:rPr>
          <w:b/>
          <w:bCs/>
        </w:rPr>
        <w:t>−2.24</w:t>
      </w:r>
      <w:r>
        <w:t xml:space="preserve"> kcal/mol (Wait — the table shows GC/GC = −2.24. Let me verify the convention.)</w:t>
      </w:r>
    </w:p>
    <w:p w14:paraId="612B098C" w14:textId="77777777" w:rsidR="00776E05" w:rsidRDefault="00000000">
      <w:r>
        <w:t xml:space="preserve">Convention check: “GC/CG” in the 5’→3’ / 3’→5’ reading means 5’-GC-3’ paired with 3’-CG-5’. Reading 3’-CG-5’ backwards (i.e., 5’-GC-3’), this is the GC/GC entry in the table. So GC/CG = GC/GC = </w:t>
      </w:r>
      <w:r>
        <w:rPr>
          <w:b/>
          <w:bCs/>
        </w:rPr>
        <w:t>−2.24 kcal/mol</w:t>
      </w:r>
      <w:r>
        <w:t>.</w:t>
      </w:r>
    </w:p>
    <w:p w14:paraId="4B1A1880" w14:textId="77777777" w:rsidR="00776E05" w:rsidRDefault="00000000">
      <w:r>
        <w:t>Using the table with care:</w:t>
      </w:r>
    </w:p>
    <w:p w14:paraId="432ABBC5" w14:textId="77777777" w:rsidR="00776E05" w:rsidRDefault="00000000">
      <w:pPr>
        <w:numPr>
          <w:ilvl w:val="0"/>
          <w:numId w:val="7"/>
        </w:numPr>
      </w:pPr>
      <w:r>
        <w:t>Position 1-2: 5’-GC-3’ / 3’-CG-5’ = GC/CG = −2.24 kcal/mol</w:t>
      </w:r>
    </w:p>
    <w:p w14:paraId="5972432A" w14:textId="77777777" w:rsidR="00776E05" w:rsidRDefault="00000000">
      <w:pPr>
        <w:numPr>
          <w:ilvl w:val="0"/>
          <w:numId w:val="7"/>
        </w:numPr>
      </w:pPr>
      <w:r>
        <w:t>Position 2-3: 5’-CA-3’ / 3’-GT-5’ = CA/TG = −1.45 kcal/mol (tabulated as CA/TG)</w:t>
      </w:r>
    </w:p>
    <w:p w14:paraId="0F8790DB" w14:textId="77777777" w:rsidR="00776E05" w:rsidRDefault="00000000">
      <w:pPr>
        <w:numPr>
          <w:ilvl w:val="0"/>
          <w:numId w:val="7"/>
        </w:numPr>
      </w:pPr>
      <w:r>
        <w:t>Position 3-4: 5’-AT-3’ / 3’-TA-5’ = AT/AT = −0.88 kcal/mol</w:t>
      </w:r>
    </w:p>
    <w:p w14:paraId="5ECCD8EE" w14:textId="77777777" w:rsidR="00776E05" w:rsidRDefault="00000000">
      <w:pPr>
        <w:numPr>
          <w:ilvl w:val="0"/>
          <w:numId w:val="7"/>
        </w:numPr>
      </w:pPr>
      <w:r>
        <w:t xml:space="preserve">Position 4-5: 5’-TG-3’ / 3’-AC-5’ = TG/AC. By the symmetry </w:t>
      </w:r>
      <m:oMath>
        <m:r>
          <w:rPr>
            <w:rFonts w:ascii="Cambria Math" w:hAnsi="Cambria Math"/>
          </w:rPr>
          <m:t>ΔG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TG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AC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ΔG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CA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TG</m:t>
            </m:r>
          </m:e>
        </m:d>
      </m:oMath>
      <w:r>
        <w:t>, this is also −1.45 kcal/mol</w:t>
      </w:r>
    </w:p>
    <w:p w14:paraId="73AB0537" w14:textId="77777777" w:rsidR="00776E05" w:rsidRDefault="00000000">
      <w:pPr>
        <w:numPr>
          <w:ilvl w:val="0"/>
          <w:numId w:val="7"/>
        </w:numPr>
      </w:pPr>
      <w:r>
        <w:t>Position 5-6: 5’-GC-3’ / 3’-CG-5’ = GC/CG = −2.24 kcal/mol</w:t>
      </w:r>
    </w:p>
    <w:p w14:paraId="02F3F842" w14:textId="77777777" w:rsidR="00776E05" w:rsidRDefault="00000000">
      <w:pPr>
        <w:pStyle w:val="Heading3"/>
      </w:pPr>
      <w:bookmarkStart w:id="8" w:name="X84670c8623c1fd180b1391390354165716b88ea"/>
      <w:bookmarkEnd w:id="7"/>
      <w:r>
        <w:t>Step 3: Sum the nearest-neighbor contributions.</w:t>
      </w:r>
    </w:p>
    <w:p w14:paraId="6487B765" w14:textId="77777777" w:rsidR="00776E05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nor/>
                </m:rPr>
                <m:t>NN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2.24</m:t>
          </m:r>
          <m:r>
            <m:rPr>
              <m:sty m:val="p"/>
            </m:rPr>
            <w:rPr>
              <w:rFonts w:ascii="Cambria Math" w:hAnsi="Cambria Math"/>
            </w:rPr>
            <m:t>+-</m:t>
          </m:r>
          <m:r>
            <w:rPr>
              <w:rFonts w:ascii="Cambria Math" w:hAnsi="Cambria Math"/>
            </w:rPr>
            <m:t>1.45</m:t>
          </m:r>
          <m:r>
            <m:rPr>
              <m:sty m:val="p"/>
            </m:rPr>
            <w:rPr>
              <w:rFonts w:ascii="Cambria Math" w:hAnsi="Cambria Math"/>
            </w:rPr>
            <m:t>+-</m:t>
          </m:r>
          <m:r>
            <w:rPr>
              <w:rFonts w:ascii="Cambria Math" w:hAnsi="Cambria Math"/>
            </w:rPr>
            <m:t>0.88</m:t>
          </m:r>
          <m:r>
            <m:rPr>
              <m:sty m:val="p"/>
            </m:rPr>
            <w:rPr>
              <w:rFonts w:ascii="Cambria Math" w:hAnsi="Cambria Math"/>
            </w:rPr>
            <m:t>+-</m:t>
          </m:r>
          <m:r>
            <w:rPr>
              <w:rFonts w:ascii="Cambria Math" w:hAnsi="Cambria Math"/>
            </w:rPr>
            <m:t>1.45</m:t>
          </m:r>
          <m:r>
            <m:rPr>
              <m:sty m:val="p"/>
            </m:rPr>
            <w:rPr>
              <w:rFonts w:ascii="Cambria Math" w:hAnsi="Cambria Math"/>
            </w:rPr>
            <m:t>+-</m:t>
          </m:r>
          <m:r>
            <w:rPr>
              <w:rFonts w:ascii="Cambria Math" w:hAnsi="Cambria Math"/>
            </w:rPr>
            <m:t>2.24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8.26</m:t>
          </m:r>
          <m:r>
            <m:rPr>
              <m:nor/>
            </m:rPr>
            <m:t xml:space="preserve"> kcal/mol</m:t>
          </m:r>
        </m:oMath>
      </m:oMathPara>
    </w:p>
    <w:p w14:paraId="4593791B" w14:textId="77777777" w:rsidR="00776E05" w:rsidRDefault="00000000">
      <w:pPr>
        <w:pStyle w:val="Heading3"/>
      </w:pPr>
      <w:bookmarkStart w:id="9" w:name="step-4-add-the-initiation-parameters."/>
      <w:bookmarkEnd w:id="8"/>
      <w:r>
        <w:t>Step 4: Add the initiation parameters.</w:t>
      </w:r>
    </w:p>
    <w:p w14:paraId="4599E25D" w14:textId="77777777" w:rsidR="00776E05" w:rsidRDefault="00000000">
      <w:r>
        <w:t>Both ends of the duplex are G·C pairs. Using the G·C initiation parameter (~+0.98 kcal/mol per end):</w:t>
      </w:r>
    </w:p>
    <w:p w14:paraId="3B8DF6A8" w14:textId="77777777" w:rsidR="00776E05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nor/>
                </m:rPr>
                <m:t>init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=+</m:t>
          </m:r>
          <m:r>
            <w:rPr>
              <w:rFonts w:ascii="Cambria Math" w:hAnsi="Cambria Math"/>
            </w:rPr>
            <m:t>0.98</m:t>
          </m:r>
          <m:r>
            <m:rPr>
              <m:sty m:val="p"/>
            </m:rPr>
            <w:rPr>
              <w:rFonts w:ascii="Cambria Math" w:hAnsi="Cambria Math"/>
            </w:rPr>
            <m:t>++</m:t>
          </m:r>
          <m:r>
            <w:rPr>
              <w:rFonts w:ascii="Cambria Math" w:hAnsi="Cambria Math"/>
            </w:rPr>
            <m:t>0.98</m:t>
          </m:r>
          <m:r>
            <m:rPr>
              <m:sty m:val="p"/>
            </m:rPr>
            <w:rPr>
              <w:rFonts w:ascii="Cambria Math" w:hAnsi="Cambria Math"/>
            </w:rPr>
            <m:t>=+</m:t>
          </m:r>
          <m:r>
            <w:rPr>
              <w:rFonts w:ascii="Cambria Math" w:hAnsi="Cambria Math"/>
            </w:rPr>
            <m:t>1.96</m:t>
          </m:r>
          <m:r>
            <m:rPr>
              <m:nor/>
            </m:rPr>
            <m:t xml:space="preserve"> kcal/mol</m:t>
          </m:r>
        </m:oMath>
      </m:oMathPara>
    </w:p>
    <w:p w14:paraId="503C61F3" w14:textId="77777777" w:rsidR="00776E05" w:rsidRDefault="00000000">
      <w:pPr>
        <w:pStyle w:val="Heading3"/>
      </w:pPr>
      <w:bookmarkStart w:id="10" w:name="step-5-total."/>
      <w:bookmarkEnd w:id="9"/>
      <w:r>
        <w:t>Step 5: Total.</w:t>
      </w:r>
    </w:p>
    <w:p w14:paraId="378675BA" w14:textId="77777777" w:rsidR="00776E05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nor/>
                </m:rPr>
                <m:t>duplex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nor/>
                </m:rPr>
                <m:t>NN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nor/>
                </m:rPr>
                <m:t>init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8.26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1.96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6.30</m:t>
          </m:r>
          <m:r>
            <m:rPr>
              <m:nor/>
            </m:rPr>
            <m:t xml:space="preserve"> kcal/mol</m:t>
          </m:r>
        </m:oMath>
      </m:oMathPara>
    </w:p>
    <w:p w14:paraId="3C5F413A" w14:textId="77777777" w:rsidR="00776E05" w:rsidRDefault="004A711E">
      <w:r>
        <w:rPr>
          <w:noProof/>
        </w:rPr>
      </w:r>
      <w:r>
        <w:pict w14:anchorId="3762EC4D">
          <v:rect id="Horizontal Line 5" o:spid="_x0000_s1033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D56340D" w14:textId="77777777" w:rsidR="00776E05" w:rsidRDefault="00000000">
      <w:pPr>
        <w:pStyle w:val="Heading2"/>
      </w:pPr>
      <w:bookmarkStart w:id="11" w:name="from-δg-to-k_d"/>
      <w:bookmarkEnd w:id="5"/>
      <w:bookmarkEnd w:id="10"/>
      <w:r>
        <w:t>5. From ΔG to K_d</w:t>
      </w:r>
    </w:p>
    <w:p w14:paraId="5F17925D" w14:textId="77777777" w:rsidR="00776E05" w:rsidRDefault="00000000">
      <w:r>
        <w:t>Using the relationship from Lecture 4 (</w:t>
      </w:r>
      <m:oMath>
        <m:r>
          <w:rPr>
            <w:rFonts w:ascii="Cambria Math" w:hAnsi="Cambria Math"/>
          </w:rPr>
          <m:t>ΔG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RT</m:t>
        </m:r>
        <m:r>
          <m:rPr>
            <m:sty m:val="p"/>
          </m:rPr>
          <w:rPr>
            <w:rFonts w:ascii="Cambria Math" w:hAnsi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 xml:space="preserve">),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310</m:t>
        </m:r>
      </m:oMath>
      <w:r>
        <w:t xml:space="preserve"> K where </w:t>
      </w:r>
      <m:oMath>
        <m:r>
          <w:rPr>
            <w:rFonts w:ascii="Cambria Math" w:hAnsi="Cambria Math"/>
          </w:rPr>
          <m:t>RT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0.616</m:t>
        </m:r>
      </m:oMath>
      <w:r>
        <w:t xml:space="preserve"> kcal/mol:</w:t>
      </w:r>
    </w:p>
    <w:p w14:paraId="2656EA1B" w14:textId="77777777" w:rsidR="00776E05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=exp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ΔG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RT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=exp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6.30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0.616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=exp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10.23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3.6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5</m:t>
              </m:r>
            </m:sup>
          </m:sSup>
          <m:r>
            <m:rPr>
              <m:nor/>
            </m:rPr>
            <m:t xml:space="preserve"> M</m:t>
          </m:r>
        </m:oMath>
      </m:oMathPara>
    </w:p>
    <w:p w14:paraId="6F5FCBFF" w14:textId="77777777" w:rsidR="00776E05" w:rsidRDefault="00000000">
      <w:r>
        <w:t xml:space="preserve">So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36</m:t>
        </m:r>
      </m:oMath>
      <w:r>
        <w:t xml:space="preserve"> μM for this duplex at physiological temperature.</w:t>
      </w:r>
    </w:p>
    <w:p w14:paraId="4921ECB3" w14:textId="77777777" w:rsidR="00776E05" w:rsidRDefault="00000000">
      <w:r>
        <w:rPr>
          <w:b/>
          <w:bCs/>
        </w:rPr>
        <w:t>Interpretation.</w:t>
      </w:r>
      <w:r>
        <w:t xml:space="preserve"> A 6-bp duplex is marginally stable under physiological conditions — bound and unbound populations coexist in roughly similar proportions. Longer duplexes (10–30 bp) are much more stable. The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 xml:space="preserve"> scales approximately exponentially with duplex length at constant GC content, which is why PCR primers are typically 18–25 bp long (giving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 xml:space="preserve"> in the nM to pM range — stable at annealing temperatures).</w:t>
      </w:r>
    </w:p>
    <w:p w14:paraId="35825AA2" w14:textId="77777777" w:rsidR="00776E05" w:rsidRDefault="004A711E">
      <w:r>
        <w:rPr>
          <w:noProof/>
        </w:rPr>
      </w:r>
      <w:r>
        <w:pict w14:anchorId="600D7A07">
          <v:rect id="Horizontal Line 6" o:spid="_x0000_s1032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4DBB6E4" w14:textId="77777777" w:rsidR="00776E05" w:rsidRDefault="00000000">
      <w:pPr>
        <w:pStyle w:val="Heading2"/>
      </w:pPr>
      <w:bookmarkStart w:id="12" w:name="melting-temperature"/>
      <w:bookmarkEnd w:id="11"/>
      <w:r>
        <w:t>6. Melting Temperature</w:t>
      </w:r>
    </w:p>
    <w:p w14:paraId="5C0431F3" w14:textId="77777777" w:rsidR="00776E05" w:rsidRDefault="00000000">
      <w:r>
        <w:t xml:space="preserve">The melting temperature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 xml:space="preserve"> is the temperature at which half of the duplexes are dissociated. Using the full </w:t>
      </w:r>
      <m:oMath>
        <m:r>
          <w:rPr>
            <w:rFonts w:ascii="Cambria Math" w:hAnsi="Cambria Math"/>
          </w:rPr>
          <m:t>ΔH</m:t>
        </m:r>
      </m:oMath>
      <w:r>
        <w:t xml:space="preserve"> and </w:t>
      </w:r>
      <m:oMath>
        <m:r>
          <w:rPr>
            <w:rFonts w:ascii="Cambria Math" w:hAnsi="Cambria Math"/>
          </w:rPr>
          <m:t>ΔS</m:t>
        </m:r>
      </m:oMath>
      <w:r>
        <w:t xml:space="preserve"> decomposition (not just </w:t>
      </w:r>
      <m:oMath>
        <m:r>
          <w:rPr>
            <w:rFonts w:ascii="Cambria Math" w:hAnsi="Cambria Math"/>
          </w:rPr>
          <m:t>ΔG</m:t>
        </m:r>
      </m:oMath>
      <w:r>
        <w:t>):</w:t>
      </w:r>
    </w:p>
    <w:p w14:paraId="27FD316A" w14:textId="77777777" w:rsidR="00776E05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ΔH</m:t>
              </m:r>
            </m:num>
            <m:den>
              <m:r>
                <w:rPr>
                  <w:rFonts w:ascii="Cambria Math" w:hAnsi="Cambria Math"/>
                </w:rPr>
                <m:t>ΔS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4</m:t>
                  </m:r>
                </m:e>
              </m:d>
            </m:den>
          </m:f>
        </m:oMath>
      </m:oMathPara>
    </w:p>
    <w:p w14:paraId="375D65D5" w14:textId="77777777" w:rsidR="00776E05" w:rsidRDefault="00000000">
      <w: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is the total strand concentration (typically 100 nM for PCR). For our GCATGC duplex, summing the tabulated </w:t>
      </w:r>
      <m:oMath>
        <m:r>
          <w:rPr>
            <w:rFonts w:ascii="Cambria Math" w:hAnsi="Cambria Math"/>
          </w:rPr>
          <m:t>ΔH</m:t>
        </m:r>
      </m:oMath>
      <w:r>
        <w:t xml:space="preserve"> and </w:t>
      </w:r>
      <m:oMath>
        <m:r>
          <w:rPr>
            <w:rFonts w:ascii="Cambria Math" w:hAnsi="Cambria Math"/>
          </w:rPr>
          <m:t>ΔS</m:t>
        </m:r>
      </m:oMath>
      <w:r>
        <w:t xml:space="preserve"> values (similar procedure to above) and assuming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</m:t>
        </m:r>
      </m:oMath>
      <w:r>
        <w:t xml:space="preserve"> nM gives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23</m:t>
        </m:r>
        <m:r>
          <m:rPr>
            <m:sty m:val="p"/>
          </m:rPr>
          <w:rPr>
            <w:rFonts w:ascii="Cambria Math" w:hAnsi="Cambria Math"/>
          </w:rPr>
          <m:t>°</m:t>
        </m:r>
        <m:r>
          <w:rPr>
            <w:rFonts w:ascii="Cambria Math" w:hAnsi="Cambria Math"/>
          </w:rPr>
          <m:t>C</m:t>
        </m:r>
      </m:oMath>
      <w:r>
        <w:t xml:space="preserve">. This means at room temperature, the duplex is just barely stable — consistent with our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36</m:t>
        </m:r>
      </m:oMath>
      <w:r>
        <w:t xml:space="preserve"> μM estimate.</w:t>
      </w:r>
    </w:p>
    <w:p w14:paraId="15186A4F" w14:textId="77777777" w:rsidR="00776E05" w:rsidRDefault="00000000">
      <w:r>
        <w:rPr>
          <w:b/>
          <w:bCs/>
        </w:rPr>
        <w:t>Why T_m matters.</w:t>
      </w:r>
      <w:r>
        <w:t xml:space="preserve"> Every molecular biologist using PCR, hybridization, or oligo design uses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 xml:space="preserve"> calculators built on SantaLucia parameters. The same parameters that predict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 xml:space="preserve"> are the parameters that feed into the Boltzmann distribution for duplex formation — making the SantaLucia model the most experimentally validated application of the convergence equation in all of biology.</w:t>
      </w:r>
    </w:p>
    <w:p w14:paraId="64B30894" w14:textId="77777777" w:rsidR="00776E05" w:rsidRDefault="004A711E">
      <w:r>
        <w:rPr>
          <w:noProof/>
        </w:rPr>
      </w:r>
      <w:r>
        <w:pict w14:anchorId="5A831649">
          <v:rect id="Horizontal Line 7" o:spid="_x0000_s1031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35CF23A" w14:textId="77777777" w:rsidR="00776E05" w:rsidRDefault="00000000">
      <w:pPr>
        <w:pStyle w:val="Heading2"/>
      </w:pPr>
      <w:bookmarkStart w:id="13" w:name="the-dot-product-structure"/>
      <w:bookmarkEnd w:id="12"/>
      <w:r>
        <w:t>7. The Dot Product Structure</w:t>
      </w:r>
    </w:p>
    <w:p w14:paraId="5FC57A74" w14:textId="77777777" w:rsidR="00776E05" w:rsidRDefault="00000000">
      <w:r>
        <w:t>Now the key insight for the MRC framework. The SantaLucia energy is:</w:t>
      </w:r>
    </w:p>
    <w:p w14:paraId="35F796BF" w14:textId="77777777" w:rsidR="00776E05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ΔG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nor/>
                </m:rPr>
                <m:t>init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Δ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nor/>
                </m:rPr>
                <m:t>NN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</m:d>
        </m:oMath>
      </m:oMathPara>
    </w:p>
    <w:p w14:paraId="765EF8B9" w14:textId="77777777" w:rsidR="00776E05" w:rsidRDefault="00000000">
      <w:r>
        <w:t xml:space="preserve">This is a sum over positions of a tabulated parameter. We can rewrite it as a </w:t>
      </w:r>
      <w:r>
        <w:rPr>
          <w:b/>
          <w:bCs/>
        </w:rPr>
        <w:t>dot product</w:t>
      </w:r>
      <w:r>
        <w:t xml:space="preserve"> by introducing two vectors:</w:t>
      </w:r>
    </w:p>
    <w:p w14:paraId="3478BB28" w14:textId="77777777" w:rsidR="00776E05" w:rsidRDefault="00000000">
      <w:pPr>
        <w:pStyle w:val="Heading3"/>
      </w:pPr>
      <w:bookmarkStart w:id="14" w:name="the-parameter-vector."/>
      <w:r>
        <w:t>The parameter vector.</w:t>
      </w:r>
    </w:p>
    <w:p w14:paraId="16B0C13B" w14:textId="77777777" w:rsidR="00776E05" w:rsidRDefault="00000000">
      <w:r>
        <w:t xml:space="preserve">Define a 10-dimensional vector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NN</m:t>
            </m:r>
          </m:sub>
        </m:sSub>
      </m:oMath>
      <w:r>
        <w:t xml:space="preserve"> whose entries are the 10 tabulated NN parameters:</w:t>
      </w:r>
    </w:p>
    <w:p w14:paraId="15F1A3CB" w14:textId="77777777" w:rsidR="00776E05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NN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1.00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0.88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0.58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1.45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1.44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1.28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1.30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2.17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2.24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1.84</m:t>
              </m:r>
            </m:e>
          </m:d>
        </m:oMath>
      </m:oMathPara>
    </w:p>
    <w:p w14:paraId="72254E6D" w14:textId="77777777" w:rsidR="00776E05" w:rsidRDefault="00000000">
      <w:r>
        <w:t>(ordered as: AA/TT, AT/AT, TA/TA, CA/TG, GT/AC, CT/GA, GA/CT, CG/CG, GC/GC, GG/CC)</w:t>
      </w:r>
    </w:p>
    <w:p w14:paraId="1C3EA7D5" w14:textId="77777777" w:rsidR="00776E05" w:rsidRDefault="00000000">
      <w:pPr>
        <w:pStyle w:val="Heading3"/>
      </w:pPr>
      <w:bookmarkStart w:id="15" w:name="the-sequence-histogram-vector."/>
      <w:bookmarkEnd w:id="14"/>
      <w:r>
        <w:t>The sequence histogram vector.</w:t>
      </w:r>
    </w:p>
    <w:p w14:paraId="2AB95000" w14:textId="77777777" w:rsidR="00776E05" w:rsidRDefault="00000000">
      <w:r>
        <w:t xml:space="preserve">For a given duplex, define a 10-dimensional vector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seq</m:t>
            </m:r>
          </m:sub>
        </m:sSub>
      </m:oMath>
      <w:r>
        <w:t xml:space="preserve"> 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= the count of NN pair </w:t>
      </w:r>
      <m:oMath>
        <m:r>
          <w:rPr>
            <w:rFonts w:ascii="Cambria Math" w:hAnsi="Cambria Math"/>
          </w:rPr>
          <m:t>k</m:t>
        </m:r>
      </m:oMath>
      <w:r>
        <w:t xml:space="preserve"> in the duplex.</w:t>
      </w:r>
    </w:p>
    <w:p w14:paraId="223EDDA1" w14:textId="77777777" w:rsidR="00776E05" w:rsidRDefault="00000000">
      <w:r>
        <w:t>For our GCATGC duplex:</w:t>
      </w:r>
    </w:p>
    <w:p w14:paraId="60C923DB" w14:textId="77777777" w:rsidR="00776E05" w:rsidRDefault="00000000">
      <w:pPr>
        <w:numPr>
          <w:ilvl w:val="0"/>
          <w:numId w:val="8"/>
        </w:numPr>
      </w:pPr>
      <w:r>
        <w:t>GC/CG (= GC/GC in table): count = 2 (positions 1-2 and 5-6)</w:t>
      </w:r>
    </w:p>
    <w:p w14:paraId="1F717582" w14:textId="77777777" w:rsidR="00776E05" w:rsidRDefault="00000000">
      <w:pPr>
        <w:numPr>
          <w:ilvl w:val="0"/>
          <w:numId w:val="8"/>
        </w:numPr>
      </w:pPr>
      <w:r>
        <w:t>CA/TG: count = 2 (positions 2-3 and 4-5, the latter by symmetry)</w:t>
      </w:r>
    </w:p>
    <w:p w14:paraId="5EB5B3BF" w14:textId="77777777" w:rsidR="00776E05" w:rsidRDefault="00000000">
      <w:pPr>
        <w:numPr>
          <w:ilvl w:val="0"/>
          <w:numId w:val="8"/>
        </w:numPr>
      </w:pPr>
      <w:r>
        <w:t>AT/AT: count = 1 (position 3-4)</w:t>
      </w:r>
    </w:p>
    <w:p w14:paraId="7BBD9713" w14:textId="77777777" w:rsidR="00776E05" w:rsidRDefault="00000000">
      <w:pPr>
        <w:numPr>
          <w:ilvl w:val="0"/>
          <w:numId w:val="8"/>
        </w:numPr>
      </w:pPr>
      <w:r>
        <w:t>All others: 0</w:t>
      </w:r>
    </w:p>
    <w:p w14:paraId="3359BB4D" w14:textId="77777777" w:rsidR="00776E05" w:rsidRDefault="00000000">
      <w:r>
        <w:t xml:space="preserve">So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seq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t>.</w:t>
      </w:r>
    </w:p>
    <w:p w14:paraId="14733525" w14:textId="77777777" w:rsidR="00776E05" w:rsidRDefault="00000000">
      <w:pPr>
        <w:pStyle w:val="Heading3"/>
      </w:pPr>
      <w:bookmarkStart w:id="16" w:name="the-dot-product."/>
      <w:bookmarkEnd w:id="15"/>
      <w:r>
        <w:lastRenderedPageBreak/>
        <w:t>The dot product.</w:t>
      </w:r>
    </w:p>
    <w:p w14:paraId="22CA7A73" w14:textId="77777777" w:rsidR="00776E05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nor/>
                </m:rPr>
                <m:t>NN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NN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nor/>
                </m:rPr>
                <m:t>seq</m:t>
              </m:r>
            </m:sub>
          </m:sSub>
        </m:oMath>
      </m:oMathPara>
    </w:p>
    <w:p w14:paraId="4CC8557C" w14:textId="77777777" w:rsidR="00776E05" w:rsidRDefault="00000000">
      <w:r>
        <w:t>Computing:</w:t>
      </w:r>
    </w:p>
    <w:p w14:paraId="3C84495E" w14:textId="77777777" w:rsidR="00776E05" w:rsidRDefault="00000000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1.00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0.88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0.58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1.45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1.44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1.28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1.30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2.17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2.24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1.84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39FF7464" w14:textId="77777777" w:rsidR="00776E05" w:rsidRDefault="00000000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0.88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2.90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4.48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8.26</m:t>
          </m:r>
          <m:r>
            <m:rPr>
              <m:nor/>
            </m:rPr>
            <m:t xml:space="preserve"> kcal/mol</m:t>
          </m:r>
        </m:oMath>
      </m:oMathPara>
    </w:p>
    <w:p w14:paraId="1820E09F" w14:textId="77777777" w:rsidR="00776E05" w:rsidRDefault="00000000">
      <w:r>
        <w:t>✓</w:t>
      </w:r>
    </w:p>
    <w:p w14:paraId="4055E165" w14:textId="77777777" w:rsidR="00776E05" w:rsidRDefault="00000000">
      <w:r>
        <w:t>Same answer as Section 4 — now written as a dot product.</w:t>
      </w:r>
    </w:p>
    <w:p w14:paraId="39B4AAEC" w14:textId="77777777" w:rsidR="00776E05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nor/>
                    </m:rPr>
                    <m:t>NN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m:rPr>
                      <m:nor/>
                    </m:rPr>
                    <m:t>NN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nor/>
                    </m:rPr>
                    <m:t>seq</m:t>
                  </m:r>
                </m:sub>
              </m:sSub>
            </m:e>
          </m:borderBox>
        </m:oMath>
      </m:oMathPara>
    </w:p>
    <w:p w14:paraId="630DE14B" w14:textId="77777777" w:rsidR="00776E05" w:rsidRDefault="00000000">
      <w:r>
        <w:rPr>
          <w:b/>
          <w:bCs/>
        </w:rPr>
        <w:t>This is given bilinearity in its purest form.</w:t>
      </w:r>
      <w:r>
        <w:t xml:space="preserve"> The binding energy is literally a dot product in raw sequence feature space. The parameters are physically interpretable (tabulated thermodynamic measurements) and the sequence features are physically interpretable (counts of dinucleotide pairs). No encoder, no learning — just physics.</w:t>
      </w:r>
    </w:p>
    <w:p w14:paraId="2688F7FA" w14:textId="77777777" w:rsidR="00776E05" w:rsidRDefault="004A711E">
      <w:r>
        <w:rPr>
          <w:noProof/>
        </w:rPr>
      </w:r>
      <w:r>
        <w:pict w14:anchorId="2D43436D">
          <v:rect id="Horizontal Line 8" o:spid="_x0000_s1030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F9E03B7" w14:textId="77777777" w:rsidR="00776E05" w:rsidRDefault="00000000">
      <w:pPr>
        <w:pStyle w:val="Heading2"/>
      </w:pPr>
      <w:bookmarkStart w:id="17" w:name="connection-to-the-convergence-equation"/>
      <w:bookmarkEnd w:id="13"/>
      <w:bookmarkEnd w:id="16"/>
      <w:r>
        <w:t>8. Connection to the Convergence Equation</w:t>
      </w:r>
    </w:p>
    <w:p w14:paraId="1C0171C7" w14:textId="77777777" w:rsidR="00776E05" w:rsidRDefault="00000000">
      <w:r>
        <w:t xml:space="preserve">Plugging the SantaLucia dot product into the Boltzmann distribution gives the </w:t>
      </w:r>
      <w:r>
        <w:rPr>
          <w:b/>
          <w:bCs/>
        </w:rPr>
        <w:t>competitive binding probability</w:t>
      </w:r>
      <w:r>
        <w:t xml:space="preserve"> for a miRNA or TF seed region choosing among candidate target sites:</w:t>
      </w:r>
    </w:p>
    <w:p w14:paraId="7E76A127" w14:textId="77777777" w:rsidR="00776E05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bind target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RT</m:t>
                  </m:r>
                </m:e>
              </m:d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exp</m:t>
                  </m:r>
                </m:e>
              </m:nary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RT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NN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⋅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RT</m:t>
                  </m:r>
                </m:e>
              </m:d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exp</m:t>
                  </m:r>
                </m:e>
              </m:nary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NN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⋅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RT</m:t>
                  </m:r>
                </m:e>
              </m:d>
            </m:den>
          </m:f>
        </m:oMath>
      </m:oMathPara>
    </w:p>
    <w:p w14:paraId="28114869" w14:textId="77777777" w:rsidR="00776E05" w:rsidRDefault="00000000">
      <w:r>
        <w:t xml:space="preserve">Defining the score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NN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RT</m:t>
        </m:r>
      </m:oMath>
      <w:r>
        <w:t>:</w:t>
      </w:r>
    </w:p>
    <w:p w14:paraId="3A13A58F" w14:textId="77777777" w:rsidR="00776E05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bind target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d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exp</m:t>
                  </m:r>
                </m:e>
              </m:nary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softmax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s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</m:oMath>
      </m:oMathPara>
    </w:p>
    <w:p w14:paraId="1EC32862" w14:textId="77777777" w:rsidR="00776E05" w:rsidRDefault="00000000">
      <w:r>
        <w:rPr>
          <w:b/>
          <w:bCs/>
        </w:rPr>
        <w:t>Comparison to transformer attention.</w:t>
      </w:r>
      <w:r>
        <w:t xml:space="preserve"> The transformer attention for query </w:t>
      </w:r>
      <m:oMath>
        <m:r>
          <m:rPr>
            <m:sty m:val="b"/>
          </m:rPr>
          <w:rPr>
            <w:rFonts w:ascii="Cambria Math" w:hAnsi="Cambria Math"/>
          </w:rPr>
          <m:t>q</m:t>
        </m:r>
      </m:oMath>
      <w:r>
        <w:t xml:space="preserve"> and keys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>:</w:t>
      </w:r>
    </w:p>
    <w:p w14:paraId="3FF0EB61" w14:textId="77777777" w:rsidR="00776E05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q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τ</m:t>
                  </m:r>
                </m:e>
              </m:d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exp</m:t>
                  </m:r>
                </m:e>
              </m:nary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q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τ</m:t>
                  </m:r>
                </m:e>
              </m:d>
            </m:den>
          </m:f>
        </m:oMath>
      </m:oMathPara>
    </w:p>
    <w:p w14:paraId="1882AF6C" w14:textId="77777777" w:rsidR="00776E05" w:rsidRDefault="00000000">
      <w:r>
        <w:t>Under the identification:</w:t>
      </w:r>
    </w:p>
    <w:p w14:paraId="68908B23" w14:textId="77777777" w:rsidR="00776E05" w:rsidRDefault="00000000">
      <w:pPr>
        <w:numPr>
          <w:ilvl w:val="0"/>
          <w:numId w:val="9"/>
        </w:numPr>
      </w:pPr>
      <m:oMath>
        <m:r>
          <m:rPr>
            <m:sty m:val="b"/>
          </m:rP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↔-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NN</m:t>
            </m:r>
          </m:sub>
        </m:sSub>
      </m:oMath>
      <w:r>
        <w:t xml:space="preserve"> (the agent’s feature vector — here, the physics parameters)</w:t>
      </w:r>
    </w:p>
    <w:p w14:paraId="0C36B3CE" w14:textId="77777777" w:rsidR="00776E05" w:rsidRDefault="00000000">
      <w:pPr>
        <w:numPr>
          <w:ilvl w:val="0"/>
          <w:numId w:val="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↔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(the target’s feature vector — the sequence histogram)</w:t>
      </w:r>
    </w:p>
    <w:p w14:paraId="299CA381" w14:textId="77777777" w:rsidR="00776E05" w:rsidRDefault="00000000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↔</m:t>
        </m:r>
        <m:r>
          <w:rPr>
            <w:rFonts w:ascii="Cambria Math" w:hAnsi="Cambria Math"/>
          </w:rPr>
          <m:t>RT</m:t>
        </m:r>
      </m:oMath>
      <w:r>
        <w:t xml:space="preserve"> (the temperature parameter)</w:t>
      </w:r>
    </w:p>
    <w:p w14:paraId="79395225" w14:textId="77777777" w:rsidR="00776E05" w:rsidRDefault="00000000">
      <w:r>
        <w:rPr>
          <w:b/>
          <w:bCs/>
        </w:rPr>
        <w:t>The SantaLucia model IS a special case of transformer attention.</w:t>
      </w:r>
      <w:r>
        <w:t xml:space="preserve"> Written decades before transformers, with physical parameters in place of learned weights, it is the same mathematical operation.</w:t>
      </w:r>
    </w:p>
    <w:p w14:paraId="27113DD2" w14:textId="77777777" w:rsidR="00776E05" w:rsidRDefault="004A711E">
      <w:r>
        <w:rPr>
          <w:noProof/>
        </w:rPr>
      </w:r>
      <w:r>
        <w:pict w14:anchorId="0729EAC0">
          <v:rect id="Horizontal Line 9" o:spid="_x0000_s1029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B7D55D0" w14:textId="77777777" w:rsidR="00776E05" w:rsidRDefault="00000000">
      <w:pPr>
        <w:pStyle w:val="Heading2"/>
      </w:pPr>
      <w:bookmarkStart w:id="18" w:name="higher-order-refinements"/>
      <w:bookmarkEnd w:id="17"/>
      <w:r>
        <w:t>9. Higher-Order Refinements</w:t>
      </w:r>
    </w:p>
    <w:p w14:paraId="7251F310" w14:textId="77777777" w:rsidR="00776E05" w:rsidRDefault="00000000">
      <w:r>
        <w:t>The pure nearest-neighbor model is an approximation. Real DNA duplexes have known deviations:</w:t>
      </w:r>
    </w:p>
    <w:p w14:paraId="4CE6993C" w14:textId="77777777" w:rsidR="00776E05" w:rsidRDefault="00000000">
      <w:r>
        <w:rPr>
          <w:b/>
          <w:bCs/>
        </w:rPr>
        <w:t>Trinucleotide corrections.</w:t>
      </w:r>
      <w:r>
        <w:t xml:space="preserve"> The SantaLucia 1998 parameters are already fit with dinucleotide resolution, but some third-nearest-neighbor effects remain uncaptured. These are small (~0.1–0.2 kcal/mol per position) and usually neglected.</w:t>
      </w:r>
    </w:p>
    <w:p w14:paraId="45916658" w14:textId="77777777" w:rsidR="00776E05" w:rsidRDefault="00000000">
      <w:r>
        <w:rPr>
          <w:b/>
          <w:bCs/>
        </w:rPr>
        <w:t>Loop and bulge corrections.</w:t>
      </w:r>
      <w:r>
        <w:t xml:space="preserve"> Mismatched base pairs, internal loops, and bulges contribute additional </w:t>
      </w:r>
      <m:oMath>
        <m:r>
          <w:rPr>
            <w:rFonts w:ascii="Cambria Math" w:hAnsi="Cambria Math"/>
          </w:rPr>
          <m:t>ΔG</m:t>
        </m:r>
      </m:oMath>
      <w:r>
        <w:t xml:space="preserve"> terms. SantaLucia &amp; Hicks (2004, </w:t>
      </w:r>
      <w:r>
        <w:rPr>
          <w:i/>
          <w:iCs/>
        </w:rPr>
        <w:t>Annu. Rev. Biophys. Biomol. Struct.</w:t>
      </w:r>
      <w:r>
        <w:t>) tabulate these for the major loop/bulge types.</w:t>
      </w:r>
    </w:p>
    <w:p w14:paraId="761005BF" w14:textId="77777777" w:rsidR="00776E05" w:rsidRDefault="00000000">
      <w:r>
        <w:rPr>
          <w:b/>
          <w:bCs/>
        </w:rPr>
        <w:t>Salt dependence.</w:t>
      </w:r>
      <w:r>
        <w:t xml:space="preserve"> </w:t>
      </w:r>
      <m:oMath>
        <m:r>
          <w:rPr>
            <w:rFonts w:ascii="Cambria Math" w:hAnsi="Cambria Math"/>
          </w:rPr>
          <m:t>ΔG</m:t>
        </m:r>
      </m:oMath>
      <w:r>
        <w:t xml:space="preserve"> depends on monovalent cation concentration, requiring corrections via </w:t>
      </w:r>
      <m:oMath>
        <m:r>
          <w:rPr>
            <w:rFonts w:ascii="Cambria Math" w:hAnsi="Cambria Math"/>
          </w:rPr>
          <m:t>ΔG</m:t>
        </m:r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m:t>Na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</m:sup>
                </m:sSup>
              </m:e>
            </m:d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ΔG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nor/>
              </m:rPr>
              <m:t>M</m:t>
            </m:r>
          </m:e>
        </m:d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0.175</m:t>
        </m:r>
        <m:r>
          <m:rPr>
            <m:sty m:val="p"/>
          </m:rP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⋅ln</m:t>
        </m:r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m:t>Na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</m:sup>
                </m:sSup>
              </m:e>
            </m:d>
          </m:e>
        </m:d>
      </m:oMath>
      <w:r>
        <w:t xml:space="preserve"> or similar empirical corrections.</w:t>
      </w:r>
    </w:p>
    <w:p w14:paraId="5FB97109" w14:textId="77777777" w:rsidR="00776E05" w:rsidRDefault="00000000">
      <w:r>
        <w:rPr>
          <w:b/>
          <w:bCs/>
        </w:rPr>
        <w:t>Terminal modifications.</w:t>
      </w:r>
      <w:r>
        <w:t xml:space="preserve"> 5’-phosphate groups, dangling ends, and non-Watson-Crick termini all have tabulated corrections.</w:t>
      </w:r>
    </w:p>
    <w:p w14:paraId="683261D3" w14:textId="77777777" w:rsidR="00776E05" w:rsidRDefault="00000000">
      <w:r>
        <w:rPr>
          <w:b/>
          <w:bCs/>
        </w:rPr>
        <w:t>The architectural mapping.</w:t>
      </w:r>
      <w:r>
        <w:t xml:space="preserve"> Each correction has a direct mapping to a transformer architecture variant: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20" w:firstRow="1" w:lastRow="0" w:firstColumn="0" w:lastColumn="0" w:noHBand="0" w:noVBand="0"/>
      </w:tblPr>
      <w:tblGrid>
        <w:gridCol w:w="2140"/>
        <w:gridCol w:w="3466"/>
      </w:tblGrid>
      <w:tr w:rsidR="00776E05" w14:paraId="147757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6FDFC9A5" w14:textId="77777777" w:rsidR="00776E05" w:rsidRDefault="00000000">
            <w:r>
              <w:t>SantaLucia correction</w:t>
            </w:r>
          </w:p>
        </w:tc>
        <w:tc>
          <w:tcPr>
            <w:tcW w:w="0" w:type="auto"/>
          </w:tcPr>
          <w:p w14:paraId="7747B1A7" w14:textId="77777777" w:rsidR="00776E05" w:rsidRDefault="00000000">
            <w:r>
              <w:t>Attention architecture variant</w:t>
            </w:r>
          </w:p>
        </w:tc>
      </w:tr>
      <w:tr w:rsidR="00776E05" w14:paraId="176A8A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1635D8D" w14:textId="77777777" w:rsidR="00776E05" w:rsidRDefault="00000000">
            <w:r>
              <w:t>Nearest-neighbor (pure)</w:t>
            </w:r>
          </w:p>
        </w:tc>
        <w:tc>
          <w:tcPr>
            <w:tcW w:w="0" w:type="auto"/>
          </w:tcPr>
          <w:p w14:paraId="1C08C497" w14:textId="77777777" w:rsidR="00776E05" w:rsidRDefault="00000000">
            <w:r>
              <w:t>Vanilla attention</w:t>
            </w:r>
          </w:p>
        </w:tc>
      </w:tr>
      <w:tr w:rsidR="00776E05" w14:paraId="42C4B3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5332AB" w14:textId="77777777" w:rsidR="00776E05" w:rsidRDefault="00000000">
            <w:r>
              <w:lastRenderedPageBreak/>
              <w:t>Trinucleotide</w:t>
            </w:r>
          </w:p>
        </w:tc>
        <w:tc>
          <w:tcPr>
            <w:tcW w:w="0" w:type="auto"/>
          </w:tcPr>
          <w:p w14:paraId="2BCBC155" w14:textId="77777777" w:rsidR="00776E05" w:rsidRDefault="00000000">
            <w:r>
              <w:t>Local convolution on attention weights</w:t>
            </w:r>
          </w:p>
        </w:tc>
      </w:tr>
      <w:tr w:rsidR="00776E05" w14:paraId="03E33D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F23EC09" w14:textId="77777777" w:rsidR="00776E05" w:rsidRDefault="00000000">
            <w:r>
              <w:t>Loop/bulge</w:t>
            </w:r>
          </w:p>
        </w:tc>
        <w:tc>
          <w:tcPr>
            <w:tcW w:w="0" w:type="auto"/>
          </w:tcPr>
          <w:p w14:paraId="7022D8C7" w14:textId="77777777" w:rsidR="00776E05" w:rsidRDefault="00000000">
            <w:r>
              <w:t>Attention masking</w:t>
            </w:r>
          </w:p>
        </w:tc>
      </w:tr>
      <w:tr w:rsidR="00776E05" w14:paraId="155314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FB6B271" w14:textId="77777777" w:rsidR="00776E05" w:rsidRDefault="00000000">
            <w:r>
              <w:t>Salt dependence</w:t>
            </w:r>
          </w:p>
        </w:tc>
        <w:tc>
          <w:tcPr>
            <w:tcW w:w="0" w:type="auto"/>
          </w:tcPr>
          <w:p w14:paraId="5EE86AB9" w14:textId="77777777" w:rsidR="00776E05" w:rsidRDefault="00000000">
            <w:r>
              <w:t xml:space="preserve">Learnable temperature </w:t>
            </w:r>
            <m:oMath>
              <m:r>
                <w:rPr>
                  <w:rFonts w:ascii="Cambria Math" w:hAnsi="Cambria Math"/>
                </w:rPr>
                <m:t>τ</m:t>
              </m:r>
            </m:oMath>
          </w:p>
        </w:tc>
      </w:tr>
      <w:tr w:rsidR="00776E05" w14:paraId="7E5823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F49FFCF" w14:textId="77777777" w:rsidR="00776E05" w:rsidRDefault="00000000">
            <w:r>
              <w:t>Terminal modifications</w:t>
            </w:r>
          </w:p>
        </w:tc>
        <w:tc>
          <w:tcPr>
            <w:tcW w:w="0" w:type="auto"/>
          </w:tcPr>
          <w:p w14:paraId="44E773F4" w14:textId="77777777" w:rsidR="00776E05" w:rsidRDefault="00000000">
            <w:r>
              <w:t>Special tokens (CLS, SEP)</w:t>
            </w:r>
          </w:p>
        </w:tc>
      </w:tr>
    </w:tbl>
    <w:p w14:paraId="165B4549" w14:textId="77777777" w:rsidR="00776E05" w:rsidRDefault="00000000">
      <w:r>
        <w:t>These aren’t coincidences — they are different physical corrections mapping to the same architectural solution because both are rooted in the convergence equation. See Methods for Molecular Recognition Computing (Reddy, 2026b) §S2.8 for a full derivation.</w:t>
      </w:r>
    </w:p>
    <w:p w14:paraId="467DAFC0" w14:textId="77777777" w:rsidR="00776E05" w:rsidRDefault="004A711E">
      <w:r>
        <w:rPr>
          <w:noProof/>
        </w:rPr>
      </w:r>
      <w:r>
        <w:pict w14:anchorId="351AC9D3">
          <v:rect id="Horizontal Line 10" o:spid="_x0000_s1028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ECC355C" w14:textId="77777777" w:rsidR="00776E05" w:rsidRDefault="00000000">
      <w:pPr>
        <w:pStyle w:val="Heading2"/>
      </w:pPr>
      <w:bookmarkStart w:id="19" w:name="summary"/>
      <w:bookmarkEnd w:id="18"/>
      <w:r>
        <w:t>10. Summary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20" w:firstRow="1" w:lastRow="0" w:firstColumn="0" w:lastColumn="0" w:noHBand="0" w:noVBand="0"/>
      </w:tblPr>
      <w:tblGrid>
        <w:gridCol w:w="1879"/>
        <w:gridCol w:w="4400"/>
        <w:gridCol w:w="2737"/>
      </w:tblGrid>
      <w:tr w:rsidR="00776E05" w14:paraId="69037D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5B27F7BE" w14:textId="77777777" w:rsidR="00776E05" w:rsidRDefault="00000000">
            <w:r>
              <w:t>Concept</w:t>
            </w:r>
          </w:p>
        </w:tc>
        <w:tc>
          <w:tcPr>
            <w:tcW w:w="0" w:type="auto"/>
          </w:tcPr>
          <w:p w14:paraId="27580E64" w14:textId="77777777" w:rsidR="00776E05" w:rsidRDefault="00000000">
            <w:r>
              <w:t>Result</w:t>
            </w:r>
          </w:p>
        </w:tc>
        <w:tc>
          <w:tcPr>
            <w:tcW w:w="0" w:type="auto"/>
          </w:tcPr>
          <w:p w14:paraId="782CC80C" w14:textId="77777777" w:rsidR="00776E05" w:rsidRDefault="00000000">
            <w:r>
              <w:t>Significance</w:t>
            </w:r>
          </w:p>
        </w:tc>
      </w:tr>
      <w:tr w:rsidR="00776E05" w14:paraId="3C1233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5F75A56" w14:textId="77777777" w:rsidR="00776E05" w:rsidRDefault="00000000">
            <w:r>
              <w:t>Duplex energy</w:t>
            </w:r>
          </w:p>
        </w:tc>
        <w:tc>
          <w:tcPr>
            <w:tcW w:w="0" w:type="auto"/>
          </w:tcPr>
          <w:p w14:paraId="3D516EB5" w14:textId="77777777" w:rsidR="00776E05" w:rsidRDefault="00000000">
            <m:oMathPara>
              <m:oMath>
                <m:r>
                  <w:rPr>
                    <w:rFonts w:ascii="Cambria Math" w:hAnsi="Cambria Math"/>
                  </w:rPr>
                  <m:t>ΔG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m:rPr>
                        <m:nor/>
                      </m:rPr>
                      <m:t>init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​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Δ</m:t>
                    </m:r>
                  </m:e>
                </m:nary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m:rPr>
                        <m:nor/>
                      </m:rPr>
                      <m:t>NN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</m:d>
              </m:oMath>
            </m:oMathPara>
          </w:p>
        </w:tc>
        <w:tc>
          <w:tcPr>
            <w:tcW w:w="0" w:type="auto"/>
          </w:tcPr>
          <w:p w14:paraId="7810EAF2" w14:textId="77777777" w:rsidR="00776E05" w:rsidRDefault="00000000">
            <w:r>
              <w:t>Sum of per-position contributions</w:t>
            </w:r>
          </w:p>
        </w:tc>
      </w:tr>
      <w:tr w:rsidR="00776E05" w14:paraId="5D8930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15E3E00" w14:textId="77777777" w:rsidR="00776E05" w:rsidRDefault="00000000">
            <w:r>
              <w:t>10 parameters</w:t>
            </w:r>
          </w:p>
        </w:tc>
        <w:tc>
          <w:tcPr>
            <w:tcW w:w="0" w:type="auto"/>
          </w:tcPr>
          <w:p w14:paraId="377D3D00" w14:textId="77777777" w:rsidR="00776E05" w:rsidRDefault="00000000">
            <w:r>
              <w:t>Tabulated from experiments</w:t>
            </w:r>
          </w:p>
        </w:tc>
        <w:tc>
          <w:tcPr>
            <w:tcW w:w="0" w:type="auto"/>
          </w:tcPr>
          <w:p w14:paraId="5A99E8EA" w14:textId="77777777" w:rsidR="00776E05" w:rsidRDefault="00000000">
            <w:r>
              <w:t>No learning required</w:t>
            </w:r>
          </w:p>
        </w:tc>
      </w:tr>
      <w:tr w:rsidR="00776E05" w14:paraId="02F20C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3176483" w14:textId="77777777" w:rsidR="00776E05" w:rsidRDefault="00000000">
            <w:r>
              <w:t>Our worked duplex</w:t>
            </w:r>
          </w:p>
        </w:tc>
        <w:tc>
          <w:tcPr>
            <w:tcW w:w="0" w:type="auto"/>
          </w:tcPr>
          <w:p w14:paraId="6377DBA4" w14:textId="77777777" w:rsidR="00776E05" w:rsidRDefault="00000000">
            <m:oMath>
              <m:r>
                <w:rPr>
                  <w:rFonts w:ascii="Cambria Math" w:hAnsi="Cambria Math"/>
                </w:rPr>
                <m:t>ΔG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6.30</m:t>
              </m:r>
            </m:oMath>
            <w:r>
              <w:t xml:space="preserve"> kcal/mol</w:t>
            </w:r>
          </w:p>
        </w:tc>
        <w:tc>
          <w:tcPr>
            <w:tcW w:w="0" w:type="auto"/>
          </w:tcPr>
          <w:p w14:paraId="08320B8E" w14:textId="77777777" w:rsidR="00776E05" w:rsidRDefault="00000000">
            <w:r>
              <w:t>6-bp GCATGC palindrome</w:t>
            </w:r>
          </w:p>
        </w:tc>
      </w:tr>
      <w:tr w:rsidR="00776E05" w14:paraId="08DE7B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AD349CD" w14:textId="77777777" w:rsidR="00776E05" w:rsidRDefault="00000000">
            <w:r>
              <w:t xml:space="preserve">Predicted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oMath>
          </w:p>
        </w:tc>
        <w:tc>
          <w:tcPr>
            <w:tcW w:w="0" w:type="auto"/>
          </w:tcPr>
          <w:p w14:paraId="36C30AA7" w14:textId="77777777" w:rsidR="00776E05" w:rsidRDefault="00000000">
            <w:r>
              <w:t>~36 μM at 310 K</w:t>
            </w:r>
          </w:p>
        </w:tc>
        <w:tc>
          <w:tcPr>
            <w:tcW w:w="0" w:type="auto"/>
          </w:tcPr>
          <w:p w14:paraId="737C7697" w14:textId="77777777" w:rsidR="00776E05" w:rsidRDefault="00000000">
            <w:r>
              <w:t>Marginally stable</w:t>
            </w:r>
          </w:p>
        </w:tc>
      </w:tr>
      <w:tr w:rsidR="00776E05" w14:paraId="799D01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A333A67" w14:textId="77777777" w:rsidR="00776E05" w:rsidRDefault="00000000">
            <w:r>
              <w:t>Dot product form</w:t>
            </w:r>
          </w:p>
        </w:tc>
        <w:tc>
          <w:tcPr>
            <w:tcW w:w="0" w:type="auto"/>
          </w:tcPr>
          <w:p w14:paraId="7A5467C4" w14:textId="77777777" w:rsidR="00776E05" w:rsidRDefault="00000000">
            <m:oMathPara>
              <m:oMath>
                <m: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m:rPr>
                        <m:nor/>
                      </m:rPr>
                      <m:t>NN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m:rPr>
                        <m:nor/>
                      </m:rPr>
                      <m:t>NN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nor/>
                      </m:rPr>
                      <m:t>seq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31DCF0E" w14:textId="77777777" w:rsidR="00776E05" w:rsidRDefault="00000000">
            <w:r>
              <w:t>Given bilinearity</w:t>
            </w:r>
          </w:p>
        </w:tc>
      </w:tr>
      <w:tr w:rsidR="00776E05" w14:paraId="7AA9C2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74FC5A0" w14:textId="77777777" w:rsidR="00776E05" w:rsidRDefault="00000000">
            <w:r>
              <w:t>Convergence equation</w:t>
            </w:r>
          </w:p>
        </w:tc>
        <w:tc>
          <w:tcPr>
            <w:tcW w:w="0" w:type="auto"/>
          </w:tcPr>
          <w:p w14:paraId="6A5D4617" w14:textId="77777777" w:rsidR="00776E05" w:rsidRDefault="00000000"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m:t>softmax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oMath>
            <w:r>
              <w:t xml:space="preserve"> with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RT</m:t>
              </m:r>
            </m:oMath>
          </w:p>
        </w:tc>
        <w:tc>
          <w:tcPr>
            <w:tcW w:w="0" w:type="auto"/>
          </w:tcPr>
          <w:p w14:paraId="1756DEB0" w14:textId="77777777" w:rsidR="00776E05" w:rsidRDefault="00000000">
            <w:r>
              <w:t>Same as transformer attention</w:t>
            </w:r>
          </w:p>
        </w:tc>
      </w:tr>
      <w:tr w:rsidR="00776E05" w14:paraId="23E854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DA518E2" w14:textId="77777777" w:rsidR="00776E05" w:rsidRDefault="00000000">
            <w:r>
              <w:t>The identification</w:t>
            </w:r>
          </w:p>
        </w:tc>
        <w:tc>
          <w:tcPr>
            <w:tcW w:w="0" w:type="auto"/>
          </w:tcPr>
          <w:p w14:paraId="21B88153" w14:textId="77777777" w:rsidR="00776E05" w:rsidRDefault="00000000">
            <w:r>
              <w:t>Tabulated params = “query”; sequence counts = “keys”</w:t>
            </w:r>
          </w:p>
        </w:tc>
        <w:tc>
          <w:tcPr>
            <w:tcW w:w="0" w:type="auto"/>
          </w:tcPr>
          <w:p w14:paraId="3E462438" w14:textId="77777777" w:rsidR="00776E05" w:rsidRDefault="00000000">
            <w:r>
              <w:t>Physics = attention in raw space</w:t>
            </w:r>
          </w:p>
        </w:tc>
      </w:tr>
    </w:tbl>
    <w:p w14:paraId="2307625A" w14:textId="77777777" w:rsidR="00776E05" w:rsidRDefault="004A711E">
      <w:r>
        <w:rPr>
          <w:noProof/>
        </w:rPr>
      </w:r>
      <w:r>
        <w:pict w14:anchorId="494F9D5D">
          <v:rect id="Horizontal Line 11" o:spid="_x0000_s1027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D54D70E" w14:textId="77777777" w:rsidR="00776E05" w:rsidRDefault="00000000">
      <w:pPr>
        <w:pStyle w:val="Heading2"/>
      </w:pPr>
      <w:bookmarkStart w:id="20" w:name="checkpoint-questions"/>
      <w:bookmarkEnd w:id="19"/>
      <w:r>
        <w:t>11. Checkpoint Questions</w:t>
      </w:r>
    </w:p>
    <w:p w14:paraId="6ACB3569" w14:textId="77777777" w:rsidR="00776E05" w:rsidRDefault="00000000">
      <w:r>
        <w:rPr>
          <w:b/>
          <w:bCs/>
        </w:rPr>
        <w:t>Q1.</w:t>
      </w:r>
      <w:r>
        <w:t xml:space="preserve"> Compute </w:t>
      </w:r>
      <m:oMath>
        <m:r>
          <w:rPr>
            <w:rFonts w:ascii="Cambria Math" w:hAnsi="Cambria Math"/>
          </w:rPr>
          <m:t>ΔG</m:t>
        </m:r>
      </m:oMath>
      <w:r>
        <w:t xml:space="preserve"> for the duplex 5’-GCGCGC-3’ / 3’-CGCGCG-5’ (an all-GC 6-bp duplex). Compare to the GCATGC example.</w:t>
      </w:r>
    </w:p>
    <w:p w14:paraId="10CCEA9E" w14:textId="77777777" w:rsidR="00776E05" w:rsidRDefault="00000000">
      <w:r>
        <w:rPr>
          <w:i/>
          <w:iCs/>
        </w:rPr>
        <w:t>Answer:</w:t>
      </w:r>
      <w:r>
        <w:t xml:space="preserve"> The 5 NN pairs are GC/CG, CG/CG, GC/CG, CG/CG, GC/CG. Looking up: GC/GC = −2.24 (×3), CG/CG = −2.17 (×2). Sum: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2.24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+-</m:t>
        </m:r>
        <m:r>
          <w:rPr>
            <w:rFonts w:ascii="Cambria Math" w:hAnsi="Cambria Math"/>
          </w:rPr>
          <m:t>2.17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6.72</m:t>
        </m:r>
        <m:r>
          <m:rPr>
            <m:sty m:val="p"/>
          </m:rPr>
          <w:rPr>
            <w:rFonts w:ascii="Cambria Math" w:hAnsi="Cambria Math"/>
          </w:rPr>
          <m:t>+-</m:t>
        </m:r>
        <m:r>
          <w:rPr>
            <w:rFonts w:ascii="Cambria Math" w:hAnsi="Cambria Math"/>
          </w:rPr>
          <m:t>4.34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11.06</m:t>
        </m:r>
      </m:oMath>
      <w:r>
        <w:t xml:space="preserve"> kcal/mol. Add initiation (+0.98 × 2 = +1.96): </w:t>
      </w:r>
      <m:oMath>
        <m:r>
          <w:rPr>
            <w:rFonts w:ascii="Cambria Math" w:hAnsi="Cambria Math"/>
          </w:rPr>
          <m:t>ΔG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9.10</m:t>
        </m:r>
      </m:oMath>
      <w:r>
        <w:t xml:space="preserve"> kcal/mol. Compared to GCATGC at </w:t>
      </w:r>
      <m:oMath>
        <m:r>
          <w:rPr>
            <w:rFonts w:ascii="Cambria Math" w:hAnsi="Cambria Math"/>
          </w:rPr>
          <m:t>ΔG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6.30</m:t>
        </m:r>
      </m:oMath>
      <w:r>
        <w:t xml:space="preserve"> kcal/mol, the all-GC duplex is 2.8 kcal/mol more stable (about 4.5 </w:t>
      </w:r>
      <m:oMath>
        <m:r>
          <w:rPr>
            <w:rFonts w:ascii="Cambria Math" w:hAnsi="Cambria Math"/>
          </w:rPr>
          <m:t>RT</m:t>
        </m:r>
      </m:oMath>
      <w:r>
        <w:t xml:space="preserve">) — about 85× lower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>. This is why GC-rich regions of genomes have higher PCR primer melting temperatures and why amplifying GC-rich templates requires specialized polymerases.</w:t>
      </w:r>
    </w:p>
    <w:p w14:paraId="2051716A" w14:textId="77777777" w:rsidR="00776E05" w:rsidRDefault="00000000">
      <w:r>
        <w:rPr>
          <w:b/>
          <w:bCs/>
        </w:rPr>
        <w:t>Q2.</w:t>
      </w:r>
      <w:r>
        <w:t xml:space="preserve"> For a random 20-bp duplex with 50% GC content, estimate </w:t>
      </w:r>
      <m:oMath>
        <m:r>
          <w:rPr>
            <w:rFonts w:ascii="Cambria Math" w:hAnsi="Cambria Math"/>
          </w:rPr>
          <m:t>ΔG</m:t>
        </m:r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 xml:space="preserve"> at 37°C.</w:t>
      </w:r>
    </w:p>
    <w:p w14:paraId="6F78A3F4" w14:textId="77777777" w:rsidR="00776E05" w:rsidRDefault="00000000">
      <w:r>
        <w:rPr>
          <w:i/>
          <w:iCs/>
        </w:rPr>
        <w:t>Answer:</w:t>
      </w:r>
      <w:r>
        <w:t xml:space="preserve"> 19 NN pairs. Average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m:rPr>
                <m:nor/>
              </m:rPr>
              <m:t>NN</m:t>
            </m:r>
          </m:sub>
        </m:sSub>
      </m:oMath>
      <w:r>
        <w:t xml:space="preserve"> across the 10 parameters is about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1.44</m:t>
        </m:r>
      </m:oMath>
      <w:r>
        <w:t xml:space="preserve"> kcal/mol. For 50% GC, the distribution of NN pairs is roughly uniform among the 10 types (with slight enrichment of mixed pairs). So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m:rPr>
                <m:nor/>
              </m:rPr>
              <m:t>NN</m:t>
            </m:r>
          </m:sub>
        </m:sSub>
        <m:r>
          <m:rPr>
            <m:sty m:val="p"/>
          </m:rPr>
          <w:rPr>
            <w:rFonts w:ascii="Cambria Math" w:hAnsi="Cambria Math"/>
          </w:rPr>
          <m:t>≈-</m:t>
        </m:r>
        <m:r>
          <w:rPr>
            <w:rFonts w:ascii="Cambria Math" w:hAnsi="Cambria Math"/>
          </w:rPr>
          <m:t>1.44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19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27.4</m:t>
        </m:r>
      </m:oMath>
      <w:r>
        <w:t xml:space="preserve"> kcal/mol. Adding initiation (+1.96 kcal/mol): </w:t>
      </w:r>
      <m:oMath>
        <m:r>
          <w:rPr>
            <w:rFonts w:ascii="Cambria Math" w:hAnsi="Cambria Math"/>
          </w:rPr>
          <m:t>ΔG</m:t>
        </m:r>
        <m:r>
          <m:rPr>
            <m:sty m:val="p"/>
          </m:rPr>
          <w:rPr>
            <w:rFonts w:ascii="Cambria Math" w:hAnsi="Cambria Math"/>
          </w:rPr>
          <m:t>≈-</m:t>
        </m:r>
        <m:r>
          <w:rPr>
            <w:rFonts w:ascii="Cambria Math" w:hAnsi="Cambria Math"/>
          </w:rPr>
          <m:t>25.4</m:t>
        </m:r>
      </m:oMath>
      <w:r>
        <w:t xml:space="preserve"> kcal/mol. At 310 K: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=exp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25.4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0.616</m:t>
            </m:r>
          </m:e>
        </m:d>
        <m:r>
          <m:rPr>
            <m:sty m:val="p"/>
          </m:rPr>
          <w:rPr>
            <w:rFonts w:ascii="Cambria Math" w:hAnsi="Cambria Math"/>
          </w:rPr>
          <m:t>=exp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41.2</m:t>
            </m:r>
          </m:e>
        </m:d>
        <m:r>
          <m:rPr>
            <m:sty m:val="p"/>
          </m:rPr>
          <w:rPr>
            <w:rFonts w:ascii="Cambria Math" w:hAnsi="Cambria Math"/>
          </w:rPr>
          <m:t>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18</m:t>
            </m:r>
          </m:sup>
        </m:sSup>
      </m:oMath>
      <w:r>
        <w:t xml:space="preserve"> M (attomolar). A 20-bp duplex is extraordinarily stable — this is why longer PCR primers anneal reliably and why single-molecule FISH probes work.</w:t>
      </w:r>
    </w:p>
    <w:p w14:paraId="0236CD8B" w14:textId="77777777" w:rsidR="00776E05" w:rsidRDefault="00000000">
      <w:r>
        <w:rPr>
          <w:b/>
          <w:bCs/>
        </w:rPr>
        <w:t>Q3.</w:t>
      </w:r>
      <w:r>
        <w:t xml:space="preserve"> A student argues: “The SantaLucia parameters are empirical fits to experimental data. They’re not derived from first principles. So calling this ‘given bilinearity’ is an overstatement — it’s really just a curve fit.”</w:t>
      </w:r>
    </w:p>
    <w:p w14:paraId="0B77F164" w14:textId="77777777" w:rsidR="00776E05" w:rsidRDefault="00000000">
      <w:r>
        <w:rPr>
          <w:i/>
          <w:iCs/>
        </w:rPr>
        <w:t>Answer:</w:t>
      </w:r>
      <w:r>
        <w:t xml:space="preserve"> The student identifies a real subtlety but draws the wrong conclusion. The SantaLucia parameters ARE empirical, but the DECOMPOSITION of the energy as a sum over nearest-neighbor pairs is a </w:t>
      </w:r>
      <w:r>
        <w:rPr>
          <w:b/>
          <w:bCs/>
        </w:rPr>
        <w:t>structural claim</w:t>
      </w:r>
      <w:r>
        <w:t xml:space="preserve"> that follows from the physical nature of DNA stacking — each base pair’s thermodynamic contribution depends dominantly on its immediate neighbors, not on the global sequence. This structural claim is a physical hypothesis that has been tested thousands of times across millions of duplexes and holds to within 0.5 kcal/mol accuracy. The numerical values of the 10 parameters are empirical; the bilinear form is physical. For the MRC framework, what matters is the bilinear form (that’s what makes it a dot product), not the precise parameter values. The fact that the physics prescribes this specific form is exactly what “given bilinearity” means.</w:t>
      </w:r>
    </w:p>
    <w:p w14:paraId="13743D09" w14:textId="77777777" w:rsidR="00776E05" w:rsidRDefault="00000000">
      <w:r>
        <w:rPr>
          <w:b/>
          <w:bCs/>
        </w:rPr>
        <w:lastRenderedPageBreak/>
        <w:t>Q4.</w:t>
      </w:r>
      <w:r>
        <w:t xml:space="preserve"> In what sense is the SantaLucia model different from position weight matrices for TF binding?</w:t>
      </w:r>
    </w:p>
    <w:p w14:paraId="6D56331C" w14:textId="77777777" w:rsidR="00776E05" w:rsidRDefault="00000000">
      <w:r>
        <w:rPr>
          <w:i/>
          <w:iCs/>
        </w:rPr>
        <w:t>Answer:</w:t>
      </w:r>
      <w:r>
        <w:t xml:space="preserve"> Both are given bilinearity — both decompose binding energy as a sum over positions, making each a dot product. The differences: - </w:t>
      </w:r>
      <w:r>
        <w:rPr>
          <w:b/>
          <w:bCs/>
        </w:rPr>
        <w:t>Feature space:</w:t>
      </w:r>
      <w:r>
        <w:t xml:space="preserve"> SantaLucia uses nearest-neighbor dinucleotide features (10-dimensional vector of pair counts). PWMs use single-nucleotide positional features (4L-dimensional vector of one-hot encodings). - </w:t>
      </w:r>
      <w:r>
        <w:rPr>
          <w:b/>
          <w:bCs/>
        </w:rPr>
        <w:t>Parameter source:</w:t>
      </w:r>
      <w:r>
        <w:t xml:space="preserve"> SantaLucia parameters come from thermodynamic measurements of DNA duplex stability. PWM parameters come from binding-site enrichment experiments (SELEX, ChIP-seq). - </w:t>
      </w:r>
      <w:r>
        <w:rPr>
          <w:b/>
          <w:bCs/>
        </w:rPr>
        <w:t>Scope:</w:t>
      </w:r>
      <w:r>
        <w:t xml:space="preserve"> SantaLucia applies universally to all DNA duplexes with the same 10 parameters. PWMs are TF-specific — a different PWM for each TF.</w:t>
      </w:r>
    </w:p>
    <w:p w14:paraId="1EF3BA9D" w14:textId="77777777" w:rsidR="00776E05" w:rsidRDefault="00000000">
      <w:r>
        <w:t>Both fit the convergence equation. Both predate transformers by decades. Next whiteboard (WB2) will work through the PWM derivation explicitly.</w:t>
      </w:r>
    </w:p>
    <w:p w14:paraId="074AD774" w14:textId="77777777" w:rsidR="00776E05" w:rsidRDefault="004A711E">
      <w:r>
        <w:rPr>
          <w:noProof/>
        </w:rPr>
      </w:r>
      <w:r>
        <w:pict w14:anchorId="2B413A40">
          <v:rect id="Horizontal Line 12" o:spid="_x0000_s1026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D383C61" w14:textId="77777777" w:rsidR="00776E05" w:rsidRDefault="00000000">
      <w:pPr>
        <w:pStyle w:val="Heading2"/>
      </w:pPr>
      <w:bookmarkStart w:id="21" w:name="connection-to-future-lectures"/>
      <w:bookmarkEnd w:id="20"/>
      <w:r>
        <w:t>12. Connection to Future Lectures</w:t>
      </w:r>
    </w:p>
    <w:p w14:paraId="51713AC4" w14:textId="77777777" w:rsidR="00776E05" w:rsidRDefault="00000000">
      <w:pPr>
        <w:numPr>
          <w:ilvl w:val="0"/>
          <w:numId w:val="10"/>
        </w:numPr>
      </w:pPr>
      <w:r>
        <w:rPr>
          <w:b/>
          <w:bCs/>
        </w:rPr>
        <w:t>Lecture 5 WB2:</w:t>
      </w:r>
      <w:r>
        <w:t xml:space="preserve"> Position weight matrices are the same type of dot-product decomposition applied to transcription factor binding. The central derivation of Lecture 5.</w:t>
      </w:r>
    </w:p>
    <w:p w14:paraId="7FE84FC2" w14:textId="77777777" w:rsidR="00776E05" w:rsidRDefault="00000000">
      <w:pPr>
        <w:numPr>
          <w:ilvl w:val="0"/>
          <w:numId w:val="10"/>
        </w:numPr>
      </w:pPr>
      <w:r>
        <w:rPr>
          <w:b/>
          <w:bCs/>
        </w:rPr>
        <w:t>Lecture 5 WB3:</w:t>
      </w:r>
      <w:r>
        <w:t xml:space="preserve"> Emergent bilinearity — when the dot product exists only in a learned embedding space (antibody-antigen).</w:t>
      </w:r>
    </w:p>
    <w:p w14:paraId="0E48CE86" w14:textId="77777777" w:rsidR="00776E05" w:rsidRDefault="00000000">
      <w:pPr>
        <w:numPr>
          <w:ilvl w:val="0"/>
          <w:numId w:val="10"/>
        </w:numPr>
      </w:pPr>
      <w:r>
        <w:rPr>
          <w:b/>
          <w:bCs/>
        </w:rPr>
        <w:t>Lecture 6:</w:t>
      </w:r>
      <w:r>
        <w:t xml:space="preserve"> Luce’s theorem proves that the softmax form applied to these dot products is the unique selection function satisfying five axioms.</w:t>
      </w:r>
    </w:p>
    <w:p w14:paraId="1A27A6B3" w14:textId="77777777" w:rsidR="00776E05" w:rsidRDefault="00000000">
      <w:pPr>
        <w:numPr>
          <w:ilvl w:val="0"/>
          <w:numId w:val="10"/>
        </w:numPr>
      </w:pPr>
      <w:r>
        <w:rPr>
          <w:b/>
          <w:bCs/>
        </w:rPr>
        <w:t>Lecture 7:</w:t>
      </w:r>
      <w:r>
        <w:t xml:space="preserve"> The full SFM architecture is derived. For given-bilinearity domains (miR-SFM, tSFM, crisprSFM), the encoder implements the SantaLucia-like decomposition. For emergent domains (CALM, TCR, enzyme, drug-target), the encoder must learn it.</w:t>
      </w:r>
    </w:p>
    <w:p w14:paraId="7E32E775" w14:textId="77777777" w:rsidR="00776E05" w:rsidRDefault="00000000">
      <w:pPr>
        <w:numPr>
          <w:ilvl w:val="0"/>
          <w:numId w:val="10"/>
        </w:numPr>
      </w:pPr>
      <w:r>
        <w:rPr>
          <w:b/>
          <w:bCs/>
        </w:rPr>
        <w:t>Lectures 9–11:</w:t>
      </w:r>
      <w:r>
        <w:t xml:space="preserve"> Students building miR-SFM will use RNA-FM or DNABERT-2 as encoders, exploiting given bilinearity in the miRNA-mRNA system. Faster convergence is expected, consistent with the vibe-coding paper’s result: miR-SFM achieves R@1 = 98.4%, the highest among the six prototypes.</w:t>
      </w:r>
      <w:bookmarkEnd w:id="1"/>
      <w:bookmarkEnd w:id="21"/>
    </w:p>
    <w:sectPr w:rsidR="00776E0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03134" w14:textId="77777777" w:rsidR="004A711E" w:rsidRDefault="004A711E">
      <w:r>
        <w:separator/>
      </w:r>
    </w:p>
  </w:endnote>
  <w:endnote w:type="continuationSeparator" w:id="0">
    <w:p w14:paraId="131C6944" w14:textId="77777777" w:rsidR="004A711E" w:rsidRDefault="004A71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38DD2" w14:textId="77777777" w:rsidR="00776E05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105B7E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FA2D1" w14:textId="77777777" w:rsidR="004A711E" w:rsidRDefault="004A711E">
      <w:r>
        <w:separator/>
      </w:r>
    </w:p>
  </w:footnote>
  <w:footnote w:type="continuationSeparator" w:id="0">
    <w:p w14:paraId="341CDDAA" w14:textId="77777777" w:rsidR="004A711E" w:rsidRDefault="004A71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B6BDE" w14:textId="77777777" w:rsidR="00776E05" w:rsidRDefault="00000000">
    <w:pPr>
      <w:pBdr>
        <w:bottom w:val="single" w:sz="4" w:space="4" w:color="999999"/>
      </w:pBdr>
    </w:pPr>
    <w:r>
      <w:rPr>
        <w:i/>
        <w:iCs/>
        <w:sz w:val="18"/>
        <w:szCs w:val="18"/>
      </w:rPr>
      <w:t>MRC Lecture 5 — Derivation Guide 1: The SantaLucia Nearest-Neighbor Model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7DC02A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D207B6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21347D70"/>
    <w:multiLevelType w:val="hybridMultilevel"/>
    <w:tmpl w:val="05806FA4"/>
    <w:lvl w:ilvl="0" w:tplc="4A52A83A">
      <w:start w:val="1"/>
      <w:numFmt w:val="bullet"/>
      <w:lvlText w:val="●"/>
      <w:lvlJc w:val="left"/>
      <w:pPr>
        <w:ind w:left="720" w:hanging="360"/>
      </w:pPr>
    </w:lvl>
    <w:lvl w:ilvl="1" w:tplc="4D981AFC">
      <w:start w:val="1"/>
      <w:numFmt w:val="bullet"/>
      <w:lvlText w:val="○"/>
      <w:lvlJc w:val="left"/>
      <w:pPr>
        <w:ind w:left="1440" w:hanging="360"/>
      </w:pPr>
    </w:lvl>
    <w:lvl w:ilvl="2" w:tplc="9E2C9460">
      <w:start w:val="1"/>
      <w:numFmt w:val="bullet"/>
      <w:lvlText w:val="■"/>
      <w:lvlJc w:val="left"/>
      <w:pPr>
        <w:ind w:left="2160" w:hanging="360"/>
      </w:pPr>
    </w:lvl>
    <w:lvl w:ilvl="3" w:tplc="CB109D96">
      <w:start w:val="1"/>
      <w:numFmt w:val="bullet"/>
      <w:lvlText w:val="●"/>
      <w:lvlJc w:val="left"/>
      <w:pPr>
        <w:ind w:left="2880" w:hanging="360"/>
      </w:pPr>
    </w:lvl>
    <w:lvl w:ilvl="4" w:tplc="FBCA38C4">
      <w:start w:val="1"/>
      <w:numFmt w:val="bullet"/>
      <w:lvlText w:val="○"/>
      <w:lvlJc w:val="left"/>
      <w:pPr>
        <w:ind w:left="3600" w:hanging="360"/>
      </w:pPr>
    </w:lvl>
    <w:lvl w:ilvl="5" w:tplc="17CA1FC8">
      <w:start w:val="1"/>
      <w:numFmt w:val="bullet"/>
      <w:lvlText w:val="■"/>
      <w:lvlJc w:val="left"/>
      <w:pPr>
        <w:ind w:left="4320" w:hanging="360"/>
      </w:pPr>
    </w:lvl>
    <w:lvl w:ilvl="6" w:tplc="850C8E36">
      <w:start w:val="1"/>
      <w:numFmt w:val="bullet"/>
      <w:lvlText w:val="●"/>
      <w:lvlJc w:val="left"/>
      <w:pPr>
        <w:ind w:left="5040" w:hanging="360"/>
      </w:pPr>
    </w:lvl>
    <w:lvl w:ilvl="7" w:tplc="21C4ADB6">
      <w:start w:val="1"/>
      <w:numFmt w:val="bullet"/>
      <w:lvlText w:val="●"/>
      <w:lvlJc w:val="left"/>
      <w:pPr>
        <w:ind w:left="5760" w:hanging="360"/>
      </w:pPr>
    </w:lvl>
    <w:lvl w:ilvl="8" w:tplc="999C5E3C">
      <w:start w:val="1"/>
      <w:numFmt w:val="bullet"/>
      <w:lvlText w:val="●"/>
      <w:lvlJc w:val="left"/>
      <w:pPr>
        <w:ind w:left="6480" w:hanging="360"/>
      </w:pPr>
    </w:lvl>
  </w:abstractNum>
  <w:num w:numId="1" w16cid:durableId="2072649200">
    <w:abstractNumId w:val="2"/>
    <w:lvlOverride w:ilvl="0">
      <w:startOverride w:val="1"/>
    </w:lvlOverride>
  </w:num>
  <w:num w:numId="2" w16cid:durableId="639455938">
    <w:abstractNumId w:val="0"/>
  </w:num>
  <w:num w:numId="3" w16cid:durableId="306206862">
    <w:abstractNumId w:val="1"/>
  </w:num>
  <w:num w:numId="4" w16cid:durableId="1295482487">
    <w:abstractNumId w:val="1"/>
  </w:num>
  <w:num w:numId="5" w16cid:durableId="1675961429">
    <w:abstractNumId w:val="1"/>
  </w:num>
  <w:num w:numId="6" w16cid:durableId="733285085">
    <w:abstractNumId w:val="1"/>
  </w:num>
  <w:num w:numId="7" w16cid:durableId="1012563457">
    <w:abstractNumId w:val="1"/>
  </w:num>
  <w:num w:numId="8" w16cid:durableId="552233687">
    <w:abstractNumId w:val="1"/>
  </w:num>
  <w:num w:numId="9" w16cid:durableId="650600747">
    <w:abstractNumId w:val="1"/>
  </w:num>
  <w:num w:numId="10" w16cid:durableId="1672558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7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6E05"/>
    <w:rsid w:val="00105B7E"/>
    <w:rsid w:val="004A711E"/>
    <w:rsid w:val="00776E05"/>
    <w:rsid w:val="00C77BA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470AC90D"/>
  <w15:docId w15:val="{D7E3D813-0272-234D-B933-D57C22E07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2378</Words>
  <Characters>13561</Characters>
  <Application>Microsoft Office Word</Application>
  <DocSecurity>0</DocSecurity>
  <Lines>113</Lines>
  <Paragraphs>31</Paragraphs>
  <ScaleCrop>false</ScaleCrop>
  <Company/>
  <LinksUpToDate>false</LinksUpToDate>
  <CharactersWithSpaces>15908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Reddy  Sai</dc:creator>
  <cp:keywords/>
  <cp:lastModifiedBy>Reddy  Sai</cp:lastModifiedBy>
  <cp:revision>2</cp:revision>
  <dcterms:created xsi:type="dcterms:W3CDTF">2026-04-21T11:38:00Z</dcterms:created>
  <dcterms:modified xsi:type="dcterms:W3CDTF">2026-04-21T11:38:00Z</dcterms:modified>
</cp:coreProperties>
</file>