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rc-lecture-6-derivation-guide-2"/>
    <w:p>
      <w:pPr>
        <w:pStyle w:val="Heading1"/>
      </w:pPr>
      <w:r>
        <w:t xml:space="preserve">MRC Lecture 6 — Derivation Guide 2</w:t>
      </w:r>
    </w:p>
    <w:bookmarkEnd w:id="20"/>
    <w:bookmarkStart w:id="35" w:name="from-one-equation-to-an-architecture"/>
    <w:p>
      <w:pPr>
        <w:pStyle w:val="Heading1"/>
      </w:pPr>
      <w:r>
        <w:t xml:space="preserve">From One Equation to an Architecture</w:t>
      </w:r>
    </w:p>
    <w:p>
      <w:pPr>
        <w:pStyle w:val="FirstParagraph"/>
      </w:pPr>
      <w:r>
        <w:t xml:space="preserve">Sai T. Reddy — ETH Zurich / BIIE</w:t>
      </w:r>
    </w:p>
    <w:p>
      <w:pPr>
        <w:pStyle w:val="BodyText"/>
      </w:pPr>
      <w:r>
        <w:rPr>
          <w:iCs/>
          <w:i/>
        </w:rPr>
        <w:t xml:space="preserve">Sources: Methods for Molecular Recognition Computing, Supplementary Note S2; Computational Convergence, Supplementary Note S1 (CDR multi-head structure, emergent antibody–antigen bilinearity).</w:t>
      </w:r>
    </w:p>
    <w:p>
      <w:r>
        <w:pict>
          <v:rect style="width:0;height:1.5pt" o:hralign="center" o:hrstd="t" o:hr="t"/>
        </w:pict>
      </w:r>
    </w:p>
    <w:bookmarkStart w:id="21" w:name="motivation"/>
    <w:p>
      <w:pPr>
        <w:pStyle w:val="Heading2"/>
      </w:pPr>
      <w:r>
        <w:t xml:space="preserve">1. Motivation</w:t>
      </w:r>
    </w:p>
    <w:p>
      <w:pPr>
        <w:pStyle w:val="FirstParagraph"/>
      </w:pPr>
      <w:r>
        <w:t xml:space="preserve">WB1 proved that the convergence equation </w:t>
      </w:r>
      <m:oMath>
        <m:r>
          <m:t>P</m:t>
        </m:r>
        <m:d>
          <m:dPr>
            <m:begChr m:val="("/>
            <m:endChr m:val=")"/>
            <m:sepChr m:val=""/>
            <m:grow/>
          </m:dPr>
          <m:e>
            <m:r>
              <m:t>j</m:t>
            </m:r>
          </m:e>
        </m:d>
        <m:r>
          <m:rPr>
            <m:sty m:val="p"/>
          </m:rPr>
          <m:t>=exp</m:t>
        </m:r>
        <m:d>
          <m:dPr>
            <m:begChr m:val="("/>
            <m:endChr m:val=")"/>
            <m:sepChr m:val=""/>
            <m:grow/>
          </m:dPr>
          <m:e>
            <m:sSub>
              <m:e>
                <m:r>
                  <m:t>s</m:t>
                </m:r>
              </m:e>
              <m:sub>
                <m:r>
                  <m:t>j</m:t>
                </m:r>
              </m:sub>
            </m:sSub>
            <m:r>
              <m:rPr>
                <m:sty m:val="p"/>
              </m:rPr>
              <m:t>/</m:t>
            </m:r>
            <m:r>
              <m:t>τ</m:t>
            </m:r>
          </m:e>
        </m:d>
        <m:r>
          <m:rPr>
            <m:sty m:val="p"/>
          </m:rPr>
          <m:t>/</m:t>
        </m:r>
        <m:nary>
          <m:naryPr>
            <m:chr m:val="∑"/>
            <m:limLoc m:val="undOvr"/>
            <m:subHide m:val="off"/>
            <m:supHide m:val="on"/>
          </m:naryPr>
          <m:sub>
            <m:r>
              <m:t>l</m:t>
            </m:r>
          </m:sub>
          <m:sup>
            <m:r>
              <m:t>​</m:t>
            </m:r>
          </m:sup>
          <m:e>
            <m:r>
              <m:rPr>
                <m:sty m:val="p"/>
              </m:rPr>
              <m:t>exp</m:t>
            </m:r>
          </m:e>
        </m:nary>
        <m:d>
          <m:dPr>
            <m:begChr m:val="("/>
            <m:endChr m:val=")"/>
            <m:sepChr m:val=""/>
            <m:grow/>
          </m:dPr>
          <m:e>
            <m:sSub>
              <m:e>
                <m:r>
                  <m:t>s</m:t>
                </m:r>
              </m:e>
              <m:sub>
                <m:r>
                  <m:t>l</m:t>
                </m:r>
              </m:sub>
            </m:sSub>
            <m:r>
              <m:rPr>
                <m:sty m:val="p"/>
              </m:rPr>
              <m:t>/</m:t>
            </m:r>
            <m:r>
              <m:t>τ</m:t>
            </m:r>
          </m:e>
        </m:d>
      </m:oMath>
      <w:r>
        <w:t xml:space="preserve"> is the unique selection function for competitive binding at equilibrium. But the equation takes abstract scores </w:t>
      </w:r>
      <m:oMath>
        <m:sSub>
          <m:e>
            <m:r>
              <m:t>s</m:t>
            </m:r>
          </m:e>
          <m:sub>
            <m:r>
              <m:t>j</m:t>
            </m:r>
          </m:sub>
        </m:sSub>
      </m:oMath>
      <w:r>
        <w:t xml:space="preserve"> as input. This guide shows where the scores come from in a molecular system, and that once you supply them, the </w:t>
      </w:r>
      <w:r>
        <w:rPr>
          <w:bCs/>
          <w:b/>
        </w:rPr>
        <w:t xml:space="preserve">architecture assembles itself</w:t>
      </w:r>
      <w:r>
        <w:t xml:space="preserve">. The bilinear decomposition of binding energy turns the convergence equation into the transformer attention equation; the dual-encoder, cross-attention structure follows; multi-head attention emerges as the image of an antibody’s multiple contact regions; and unequal target concentrations enter as an additive bias term — exactly, from the physics, not as an approximation.</w:t>
      </w:r>
    </w:p>
    <w:p>
      <w:pPr>
        <w:pStyle w:val="BodyText"/>
      </w:pPr>
      <w:r>
        <w:t xml:space="preserve">The lesson: the SFM architecture is not designed. It is what the convergence equation looks like when the scores are molecular compatibility scores.</w:t>
      </w:r>
    </w:p>
    <w:p>
      <w:r>
        <w:pict>
          <v:rect style="width:0;height:1.5pt" o:hralign="center" o:hrstd="t" o:hr="t"/>
        </w:pict>
      </w:r>
    </w:p>
    <w:bookmarkEnd w:id="21"/>
    <w:bookmarkStart w:id="22" w:name="the-score-is-a-dot-product"/>
    <w:p>
      <w:pPr>
        <w:pStyle w:val="Heading2"/>
      </w:pPr>
      <w:r>
        <w:t xml:space="preserve">2. The Score Is a Dot Product</w:t>
      </w:r>
    </w:p>
    <w:p>
      <w:pPr>
        <w:pStyle w:val="FirstParagraph"/>
      </w:pPr>
      <w:r>
        <w:t xml:space="preserve">From Lecture 5, the binding energy decomposes bilinearly. In the favorable (more negative </w:t>
      </w:r>
      <m:oMath>
        <m:r>
          <m:t>ΔG</m:t>
        </m:r>
      </m:oMath>
      <w:r>
        <w:t xml:space="preserve">) convention, the compatibility score is a dot product between an agent feature vector </w:t>
      </w:r>
      <m:oMath>
        <m:r>
          <m:rPr>
            <m:sty m:val="b"/>
          </m:rPr>
          <m:t>q</m:t>
        </m:r>
      </m:oMath>
      <w:r>
        <w:t xml:space="preserve"> and a target feature vector </w:t>
      </w:r>
      <m:oMath>
        <m:sSub>
          <m:e>
            <m:r>
              <m:rPr>
                <m:sty m:val="b"/>
              </m:rPr>
              <m:t>k</m:t>
            </m:r>
          </m:e>
          <m:sub>
            <m:r>
              <m:t>j</m:t>
            </m:r>
          </m:sub>
        </m:sSub>
      </m:oMath>
      <w:r>
        <w:t xml:space="preserve">:</w:t>
      </w:r>
    </w:p>
    <w:p>
      <w:pPr>
        <w:pStyle w:val="BodyText"/>
      </w:pPr>
      <m:oMathPara>
        <m:oMathParaPr>
          <m:jc m:val="center"/>
        </m:oMathParaPr>
        <m:oMath>
          <m:sSub>
            <m:e>
              <m:r>
                <m:t>s</m:t>
              </m:r>
            </m:e>
            <m:sub>
              <m:r>
                <m:t>j</m:t>
              </m:r>
            </m:sub>
          </m:sSub>
          <m:r>
            <m:rPr>
              <m:sty m:val="p"/>
            </m:rPr>
            <m:t>=</m:t>
          </m:r>
          <m:r>
            <m:rPr>
              <m:sty m:val="b"/>
            </m:rPr>
            <m:t>q</m:t>
          </m:r>
          <m:r>
            <m:rPr>
              <m:sty m:val="p"/>
            </m:rPr>
            <m:t>⋅</m:t>
          </m:r>
          <m:sSub>
            <m:e>
              <m:r>
                <m:rPr>
                  <m:sty m:val="b"/>
                </m:rPr>
                <m:t>k</m:t>
              </m:r>
            </m:e>
            <m:sub>
              <m:r>
                <m:t>j</m:t>
              </m:r>
            </m:sub>
          </m:sSub>
        </m:oMath>
      </m:oMathPara>
    </w:p>
    <w:p>
      <w:pPr>
        <w:pStyle w:val="FirstParagraph"/>
      </w:pPr>
      <w:r>
        <w:t xml:space="preserve">There are two regimes:</w:t>
      </w:r>
    </w:p>
    <w:p>
      <w:pPr>
        <w:numPr>
          <w:ilvl w:val="0"/>
          <w:numId w:val="1001"/>
        </w:numPr>
        <w:pStyle w:val="Compact"/>
      </w:pPr>
      <w:r>
        <w:rPr>
          <w:bCs/>
          <w:b/>
        </w:rPr>
        <w:t xml:space="preserve">Given bilinearity</w:t>
      </w:r>
      <w:r>
        <w:t xml:space="preserve"> (nucleic acids): </w:t>
      </w:r>
      <m:oMath>
        <m:r>
          <m:rPr>
            <m:sty m:val="b"/>
          </m:rPr>
          <m:t>q</m:t>
        </m:r>
      </m:oMath>
      <w:r>
        <w:t xml:space="preserve"> and </w:t>
      </w:r>
      <m:oMath>
        <m:sSub>
          <m:e>
            <m:r>
              <m:rPr>
                <m:sty m:val="b"/>
              </m:rPr>
              <m:t>k</m:t>
            </m:r>
          </m:e>
          <m:sub>
            <m:r>
              <m:t>j</m:t>
            </m:r>
          </m:sub>
        </m:sSub>
      </m:oMath>
      <w:r>
        <w:t xml:space="preserve"> are physical, interpretable features in raw sequence space — the position weight matrix and the one-hot DNA encoding (transcription factors), or the nearest-neighbor parameters and the sequence histogram (SantaLucia). No encoder training is needed for the form.</w:t>
      </w:r>
    </w:p>
    <w:p>
      <w:pPr>
        <w:numPr>
          <w:ilvl w:val="0"/>
          <w:numId w:val="1001"/>
        </w:numPr>
        <w:pStyle w:val="Compact"/>
      </w:pPr>
      <w:r>
        <w:rPr>
          <w:bCs/>
          <w:b/>
        </w:rPr>
        <w:t xml:space="preserve">Emergent bilinearity</w:t>
      </w:r>
      <w:r>
        <w:t xml:space="preserve"> (proteins): </w:t>
      </w:r>
      <m:oMath>
        <m:r>
          <m:rPr>
            <m:sty m:val="b"/>
          </m:rPr>
          <m:t>q</m:t>
        </m:r>
        <m:r>
          <m:rPr>
            <m:sty m:val="p"/>
          </m:rPr>
          <m:t>=</m:t>
        </m:r>
        <m:sSub>
          <m:e>
            <m:r>
              <m:rPr>
                <m:nor/>
                <m:sty m:val="p"/>
              </m:rPr>
              <m:t>Encoder</m:t>
            </m:r>
          </m:e>
          <m:sub>
            <m:r>
              <m:t>A</m:t>
            </m:r>
          </m:sub>
        </m:sSub>
        <m:d>
          <m:dPr>
            <m:begChr m:val="("/>
            <m:endChr m:val=")"/>
            <m:sepChr m:val=""/>
            <m:grow/>
          </m:dPr>
          <m:e>
            <m:r>
              <m:rPr>
                <m:nor/>
                <m:sty m:val="p"/>
              </m:rPr>
              <m:t>agent</m:t>
            </m:r>
          </m:e>
        </m:d>
      </m:oMath>
      <w:r>
        <w:t xml:space="preserve"> and </w:t>
      </w:r>
      <m:oMath>
        <m:sSub>
          <m:e>
            <m:r>
              <m:rPr>
                <m:sty m:val="b"/>
              </m:rPr>
              <m:t>k</m:t>
            </m:r>
          </m:e>
          <m:sub>
            <m:r>
              <m:t>j</m:t>
            </m:r>
          </m:sub>
        </m:sSub>
        <m:r>
          <m:rPr>
            <m:sty m:val="p"/>
          </m:rPr>
          <m:t>=</m:t>
        </m:r>
        <m:sSub>
          <m:e>
            <m:r>
              <m:rPr>
                <m:nor/>
                <m:sty m:val="p"/>
              </m:rPr>
              <m:t>Encoder</m:t>
            </m:r>
          </m:e>
          <m:sub>
            <m:r>
              <m:t>T</m:t>
            </m:r>
          </m:sub>
        </m:sSub>
        <m:d>
          <m:dPr>
            <m:begChr m:val="("/>
            <m:endChr m:val=")"/>
            <m:sepChr m:val=""/>
            <m:grow/>
          </m:dPr>
          <m:e>
            <m:sSub>
              <m:e>
                <m:r>
                  <m:rPr>
                    <m:nor/>
                    <m:sty m:val="p"/>
                  </m:rPr>
                  <m:t>target</m:t>
                </m:r>
              </m:e>
              <m:sub>
                <m:r>
                  <m:t>j</m:t>
                </m:r>
              </m:sub>
            </m:sSub>
          </m:e>
        </m:d>
      </m:oMath>
      <w:r>
        <w:t xml:space="preserve"> are learned embeddings (ESM-2, AntiBERTy). The dot product exists only after the encoder discovers the right representation.</w:t>
      </w:r>
    </w:p>
    <w:p>
      <w:pPr>
        <w:pStyle w:val="FirstParagraph"/>
      </w:pPr>
      <w:r>
        <w:t xml:space="preserve">In both regimes, the score is a dot product. That single fact is what generates the architecture.</w:t>
      </w:r>
    </w:p>
    <w:p>
      <w:r>
        <w:pict>
          <v:rect style="width:0;height:1.5pt" o:hralign="center" o:hrstd="t" o:hr="t"/>
        </w:pict>
      </w:r>
    </w:p>
    <w:bookmarkEnd w:id="22"/>
    <w:bookmarkStart w:id="23" w:name="X59e16c777a1401c3edf396f469b4132fd39ed2d"/>
    <w:p>
      <w:pPr>
        <w:pStyle w:val="Heading2"/>
      </w:pPr>
      <w:r>
        <w:t xml:space="preserve">3. Substituting Into the Convergence Equation</w:t>
      </w:r>
    </w:p>
    <w:p>
      <w:pPr>
        <w:pStyle w:val="FirstParagraph"/>
      </w:pPr>
      <w:r>
        <w:t xml:space="preserve">Replace the abstract score </w:t>
      </w:r>
      <m:oMath>
        <m:sSub>
          <m:e>
            <m:r>
              <m:t>s</m:t>
            </m:r>
          </m:e>
          <m:sub>
            <m:r>
              <m:t>j</m:t>
            </m:r>
          </m:sub>
        </m:sSub>
      </m:oMath>
      <w:r>
        <w:t xml:space="preserve"> in the convergence equation with the bilinear form </w:t>
      </w:r>
      <m:oMath>
        <m:r>
          <m:rPr>
            <m:sty m:val="b"/>
          </m:rPr>
          <m:t>q</m:t>
        </m:r>
        <m:r>
          <m:rPr>
            <m:sty m:val="p"/>
          </m:rPr>
          <m:t>⋅</m:t>
        </m:r>
        <m:sSub>
          <m:e>
            <m:r>
              <m:rPr>
                <m:sty m:val="b"/>
              </m:rPr>
              <m:t>k</m:t>
            </m:r>
          </m:e>
          <m:sub>
            <m:r>
              <m:t>j</m:t>
            </m:r>
          </m:sub>
        </m:sSub>
      </m:oMath>
      <w:r>
        <w:t xml:space="preserve">:</w:t>
      </w:r>
    </w:p>
    <w:p>
      <w:pPr>
        <w:pStyle w:val="BodyText"/>
      </w:pPr>
      <m:oMathPara>
        <m:oMathParaPr>
          <m:jc m:val="center"/>
        </m:oMathParaPr>
        <m:oMath>
          <m:r>
            <m:t>P</m:t>
          </m:r>
          <m:d>
            <m:dPr>
              <m:begChr m:val="("/>
              <m:endChr m:val=")"/>
              <m:sepChr m:val=""/>
              <m:grow/>
            </m:dPr>
            <m:e>
              <m:r>
                <m:t>j</m:t>
              </m:r>
            </m:e>
          </m:d>
          <m:r>
            <m:rPr>
              <m:sty m:val="p"/>
            </m:rPr>
            <m:t>=</m:t>
          </m:r>
          <m:f>
            <m:fPr>
              <m:type m:val="bar"/>
            </m:fPr>
            <m:num>
              <m:r>
                <m:rPr>
                  <m:sty m:val="p"/>
                </m:rPr>
                <m:t>exp</m:t>
              </m:r>
              <m:d>
                <m:dPr>
                  <m:begChr m:val="("/>
                  <m:endChr m:val=")"/>
                  <m:sepChr m:val=""/>
                  <m:grow/>
                </m:dPr>
                <m:e>
                  <m:r>
                    <m:rPr>
                      <m:sty m:val="b"/>
                    </m:rPr>
                    <m:t>q</m:t>
                  </m:r>
                  <m:r>
                    <m:rPr>
                      <m:sty m:val="p"/>
                    </m:rPr>
                    <m:t>⋅</m:t>
                  </m:r>
                  <m:sSub>
                    <m:e>
                      <m:r>
                        <m:rPr>
                          <m:sty m:val="b"/>
                        </m:rPr>
                        <m:t>k</m:t>
                      </m:r>
                    </m:e>
                    <m:sub>
                      <m:r>
                        <m:t>j</m:t>
                      </m:r>
                    </m:sub>
                  </m:sSub>
                  <m:r>
                    <m:rPr>
                      <m:sty m:val="p"/>
                    </m:rPr>
                    <m:t>/</m:t>
                  </m:r>
                  <m:r>
                    <m:t>τ</m:t>
                  </m:r>
                </m:e>
              </m:d>
            </m:num>
            <m:den>
              <m:nary>
                <m:naryPr>
                  <m:chr m:val="∑"/>
                  <m:limLoc m:val="undOvr"/>
                  <m:subHide m:val="off"/>
                  <m:supHide m:val="on"/>
                </m:naryPr>
                <m:sub>
                  <m:r>
                    <m:t>l</m:t>
                  </m:r>
                </m:sub>
                <m:sup>
                  <m:r>
                    <m:t>​</m:t>
                  </m:r>
                </m:sup>
                <m:e>
                  <m:r>
                    <m:rPr>
                      <m:sty m:val="p"/>
                    </m:rPr>
                    <m:t>exp</m:t>
                  </m:r>
                </m:e>
              </m:nary>
              <m:d>
                <m:dPr>
                  <m:begChr m:val="("/>
                  <m:endChr m:val=")"/>
                  <m:sepChr m:val=""/>
                  <m:grow/>
                </m:dPr>
                <m:e>
                  <m:r>
                    <m:rPr>
                      <m:sty m:val="b"/>
                    </m:rPr>
                    <m:t>q</m:t>
                  </m:r>
                  <m:r>
                    <m:rPr>
                      <m:sty m:val="p"/>
                    </m:rPr>
                    <m:t>⋅</m:t>
                  </m:r>
                  <m:sSub>
                    <m:e>
                      <m:r>
                        <m:rPr>
                          <m:sty m:val="b"/>
                        </m:rPr>
                        <m:t>k</m:t>
                      </m:r>
                    </m:e>
                    <m:sub>
                      <m:r>
                        <m:t>l</m:t>
                      </m:r>
                    </m:sub>
                  </m:sSub>
                  <m:r>
                    <m:rPr>
                      <m:sty m:val="p"/>
                    </m:rPr>
                    <m:t>/</m:t>
                  </m:r>
                  <m:r>
                    <m:t>τ</m:t>
                  </m:r>
                </m:e>
              </m:d>
            </m:den>
          </m:f>
        </m:oMath>
      </m:oMathPara>
    </w:p>
    <w:p>
      <w:pPr>
        <w:pStyle w:val="FirstParagraph"/>
      </w:pPr>
      <w:r>
        <w:t xml:space="preserve">Write the transformer attention weight (Vaswani et al., 2017) directly beneath it:</w:t>
      </w:r>
    </w:p>
    <w:p>
      <w:pPr>
        <w:pStyle w:val="BodyText"/>
      </w:pPr>
      <m:oMathPara>
        <m:oMathParaPr>
          <m:jc m:val="center"/>
        </m:oMathParaPr>
        <m:oMath>
          <m:sSub>
            <m:e>
              <m:r>
                <m:t>A</m:t>
              </m:r>
            </m:e>
            <m:sub>
              <m:r>
                <m:t>j</m:t>
              </m:r>
            </m:sub>
          </m:sSub>
          <m:r>
            <m:rPr>
              <m:sty m:val="p"/>
            </m:rPr>
            <m:t>=</m:t>
          </m:r>
          <m:f>
            <m:fPr>
              <m:type m:val="bar"/>
            </m:fPr>
            <m:num>
              <m:r>
                <m:rPr>
                  <m:sty m:val="p"/>
                </m:rPr>
                <m:t>exp</m:t>
              </m:r>
              <m:d>
                <m:dPr>
                  <m:begChr m:val="("/>
                  <m:endChr m:val=")"/>
                  <m:sepChr m:val=""/>
                  <m:grow/>
                </m:dPr>
                <m:e>
                  <m:r>
                    <m:rPr>
                      <m:sty m:val="b"/>
                    </m:rPr>
                    <m:t>q</m:t>
                  </m:r>
                  <m:r>
                    <m:rPr>
                      <m:sty m:val="p"/>
                    </m:rPr>
                    <m:t>⋅</m:t>
                  </m:r>
                  <m:sSub>
                    <m:e>
                      <m:r>
                        <m:rPr>
                          <m:sty m:val="b"/>
                        </m:rPr>
                        <m:t>k</m:t>
                      </m:r>
                    </m:e>
                    <m:sub>
                      <m:r>
                        <m:t>j</m:t>
                      </m:r>
                    </m:sub>
                  </m:sSub>
                  <m:r>
                    <m:rPr>
                      <m:sty m:val="p"/>
                    </m:rPr>
                    <m:t>/</m:t>
                  </m:r>
                  <m:r>
                    <m:t>τ</m:t>
                  </m:r>
                </m:e>
              </m:d>
            </m:num>
            <m:den>
              <m:nary>
                <m:naryPr>
                  <m:chr m:val="∑"/>
                  <m:limLoc m:val="undOvr"/>
                  <m:subHide m:val="off"/>
                  <m:supHide m:val="on"/>
                </m:naryPr>
                <m:sub>
                  <m:r>
                    <m:t>l</m:t>
                  </m:r>
                </m:sub>
                <m:sup>
                  <m:r>
                    <m:t>​</m:t>
                  </m:r>
                </m:sup>
                <m:e>
                  <m:r>
                    <m:rPr>
                      <m:sty m:val="p"/>
                    </m:rPr>
                    <m:t>exp</m:t>
                  </m:r>
                </m:e>
              </m:nary>
              <m:d>
                <m:dPr>
                  <m:begChr m:val="("/>
                  <m:endChr m:val=")"/>
                  <m:sepChr m:val=""/>
                  <m:grow/>
                </m:dPr>
                <m:e>
                  <m:r>
                    <m:rPr>
                      <m:sty m:val="b"/>
                    </m:rPr>
                    <m:t>q</m:t>
                  </m:r>
                  <m:r>
                    <m:rPr>
                      <m:sty m:val="p"/>
                    </m:rPr>
                    <m:t>⋅</m:t>
                  </m:r>
                  <m:sSub>
                    <m:e>
                      <m:r>
                        <m:rPr>
                          <m:sty m:val="b"/>
                        </m:rPr>
                        <m:t>k</m:t>
                      </m:r>
                    </m:e>
                    <m:sub>
                      <m:r>
                        <m:t>l</m:t>
                      </m:r>
                    </m:sub>
                  </m:sSub>
                  <m:r>
                    <m:rPr>
                      <m:sty m:val="p"/>
                    </m:rPr>
                    <m:t>/</m:t>
                  </m:r>
                  <m:r>
                    <m:t>τ</m:t>
                  </m:r>
                </m:e>
              </m:d>
            </m:den>
          </m:f>
        </m:oMath>
      </m:oMathPara>
    </w:p>
    <w:p>
      <w:pPr>
        <w:pStyle w:val="FirstParagraph"/>
      </w:pPr>
      <w:r>
        <w:rPr>
          <w:bCs/>
          <w:b/>
        </w:rPr>
        <w:t xml:space="preserve">These are the same equation.</w:t>
      </w:r>
      <w:r>
        <w:t xml:space="preserve"> The convergence equation with a bilinear molecular score </w:t>
      </w:r>
      <w:r>
        <w:rPr>
          <w:iCs/>
          <w:i/>
        </w:rPr>
        <w:t xml:space="preserve">is</w:t>
      </w:r>
      <w:r>
        <w:t xml:space="preserve"> the transformer attention mechanism. The attention mechanism was not borrowed from AI and applied to biology — it is what the physics of competitive binding produces when the binding energy is bilinear.</w:t>
      </w:r>
    </w:p>
    <w:p>
      <w:r>
        <w:pict>
          <v:rect style="width:0;height:1.5pt" o:hralign="center" o:hrstd="t" o:hr="t"/>
        </w:pict>
      </w:r>
    </w:p>
    <w:bookmarkEnd w:id="23"/>
    <w:bookmarkStart w:id="27" w:name="Xff098bec2b51668c157de970bc5ed6e3b995d72"/>
    <w:p>
      <w:pPr>
        <w:pStyle w:val="Heading2"/>
      </w:pPr>
      <w:r>
        <w:t xml:space="preserve">4. Worked Example: The PWM Score Is a Dot Product</w:t>
      </w:r>
    </w:p>
    <w:p>
      <w:pPr>
        <w:pStyle w:val="FirstParagraph"/>
      </w:pPr>
      <w:r>
        <w:t xml:space="preserve">To make the dot product concrete, take a transcription factor with a 6-position binding motif. Its position weight matrix </w:t>
      </w:r>
      <m:oMath>
        <m:r>
          <m:rPr>
            <m:sty m:val="b"/>
          </m:rPr>
          <m:t>W</m:t>
        </m:r>
      </m:oMath>
      <w:r>
        <w:t xml:space="preserve"> (rows A, C, G, T; columns positions 1–6) is:</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p1</w:t>
            </w:r>
          </w:p>
        </w:tc>
        <w:tc>
          <w:tcPr/>
          <w:p>
            <w:pPr>
              <w:pStyle w:val="Compact"/>
              <w:jc w:val="left"/>
            </w:pPr>
            <w:r>
              <w:t xml:space="preserve">p2</w:t>
            </w:r>
          </w:p>
        </w:tc>
        <w:tc>
          <w:tcPr/>
          <w:p>
            <w:pPr>
              <w:pStyle w:val="Compact"/>
              <w:jc w:val="left"/>
            </w:pPr>
            <w:r>
              <w:t xml:space="preserve">p3</w:t>
            </w:r>
          </w:p>
        </w:tc>
        <w:tc>
          <w:tcPr/>
          <w:p>
            <w:pPr>
              <w:pStyle w:val="Compact"/>
              <w:jc w:val="left"/>
            </w:pPr>
            <w:r>
              <w:t xml:space="preserve">p4</w:t>
            </w:r>
          </w:p>
        </w:tc>
        <w:tc>
          <w:tcPr/>
          <w:p>
            <w:pPr>
              <w:pStyle w:val="Compact"/>
              <w:jc w:val="left"/>
            </w:pPr>
            <w:r>
              <w:t xml:space="preserve">p5</w:t>
            </w:r>
          </w:p>
        </w:tc>
        <w:tc>
          <w:tcPr/>
          <w:p>
            <w:pPr>
              <w:pStyle w:val="Compact"/>
              <w:jc w:val="left"/>
            </w:pPr>
            <w:r>
              <w:t xml:space="preserve">p6</w:t>
            </w:r>
          </w:p>
        </w:tc>
      </w:tr>
      <w:tr>
        <w:tc>
          <w:tcPr/>
          <w:p>
            <w:pPr>
              <w:pStyle w:val="Compact"/>
              <w:jc w:val="left"/>
            </w:pPr>
            <w:r>
              <w:rPr>
                <w:bCs/>
                <w:b/>
              </w:rPr>
              <w:t xml:space="preserve">A</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r>
      <w:tr>
        <w:tc>
          <w:tcPr/>
          <w:p>
            <w:pPr>
              <w:pStyle w:val="Compact"/>
              <w:jc w:val="left"/>
            </w:pPr>
            <w:r>
              <w:rPr>
                <w:bCs/>
                <w:b/>
              </w:rPr>
              <w:t xml:space="preserve">C</w:t>
            </w:r>
          </w:p>
        </w:tc>
        <w:tc>
          <w:tcPr/>
          <w:p>
            <w:pPr>
              <w:pStyle w:val="Compact"/>
              <w:jc w:val="left"/>
            </w:pPr>
            <w:r>
              <w:t xml:space="preserve">−1</w:t>
            </w:r>
          </w:p>
        </w:tc>
        <w:tc>
          <w:tcPr/>
          <w:p>
            <w:pPr>
              <w:pStyle w:val="Compact"/>
              <w:jc w:val="left"/>
            </w:pPr>
            <w:r>
              <w:t xml:space="preserve">4</w:t>
            </w:r>
          </w:p>
        </w:tc>
        <w:tc>
          <w:tcPr/>
          <w:p>
            <w:pPr>
              <w:pStyle w:val="Compact"/>
              <w:jc w:val="left"/>
            </w:pPr>
            <w:r>
              <w:t xml:space="preserve">−1</w:t>
            </w:r>
          </w:p>
        </w:tc>
        <w:tc>
          <w:tcPr/>
          <w:p>
            <w:pPr>
              <w:pStyle w:val="Compact"/>
              <w:jc w:val="left"/>
            </w:pPr>
            <w:r>
              <w:t xml:space="preserve">0</w:t>
            </w:r>
          </w:p>
        </w:tc>
        <w:tc>
          <w:tcPr/>
          <w:p>
            <w:pPr>
              <w:pStyle w:val="Compact"/>
              <w:jc w:val="left"/>
            </w:pPr>
            <w:r>
              <w:t xml:space="preserve">3</w:t>
            </w:r>
          </w:p>
        </w:tc>
        <w:tc>
          <w:tcPr/>
          <w:p>
            <w:pPr>
              <w:pStyle w:val="Compact"/>
              <w:jc w:val="left"/>
            </w:pPr>
            <w:r>
              <w:t xml:space="preserve">−1</w:t>
            </w:r>
          </w:p>
        </w:tc>
      </w:tr>
      <w:tr>
        <w:tc>
          <w:tcPr/>
          <w:p>
            <w:pPr>
              <w:pStyle w:val="Compact"/>
              <w:jc w:val="left"/>
            </w:pPr>
            <w:r>
              <w:rPr>
                <w:bCs/>
                <w:b/>
              </w:rPr>
              <w:t xml:space="preserve">G</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r>
      <w:tr>
        <w:tc>
          <w:tcPr/>
          <w:p>
            <w:pPr>
              <w:pStyle w:val="Compact"/>
              <w:jc w:val="left"/>
            </w:pPr>
            <w:r>
              <w:rPr>
                <w:bCs/>
                <w:b/>
              </w:rPr>
              <w:t xml:space="preserve">T</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bl>
    <w:bookmarkStart w:id="24" w:name="scoring-the-consensus-site-acggca"/>
    <w:p>
      <w:pPr>
        <w:pStyle w:val="Heading3"/>
      </w:pPr>
      <w:r>
        <w:t xml:space="preserve">Scoring the consensus site ACGGCA</w:t>
      </w:r>
    </w:p>
    <w:p>
      <w:pPr>
        <w:pStyle w:val="FirstParagraph"/>
      </w:pPr>
      <w:r>
        <w:t xml:space="preserve">The PWM score is the sum of the per-position contributions for the bases actually present:</w:t>
      </w:r>
    </w:p>
    <w:p>
      <w:pPr>
        <w:pStyle w:val="BodyText"/>
      </w:pPr>
      <m:oMathPara>
        <m:oMathParaPr>
          <m:jc m:val="center"/>
        </m:oMathParaPr>
        <m:oMath>
          <m:r>
            <m:t>S</m:t>
          </m:r>
          <m:r>
            <m:rPr>
              <m:sty m:val="p"/>
            </m:rPr>
            <m:t>=</m:t>
          </m:r>
          <m:sSub>
            <m:e>
              <m:r>
                <m:t>W</m:t>
              </m:r>
            </m:e>
            <m:sub>
              <m:r>
                <m:t>1</m:t>
              </m:r>
              <m:r>
                <m:rPr>
                  <m:sty m:val="p"/>
                </m:rPr>
                <m:t>,</m:t>
              </m:r>
              <m:r>
                <m:t>A</m:t>
              </m:r>
            </m:sub>
          </m:sSub>
          <m:r>
            <m:rPr>
              <m:sty m:val="p"/>
            </m:rPr>
            <m:t>+</m:t>
          </m:r>
          <m:sSub>
            <m:e>
              <m:r>
                <m:t>W</m:t>
              </m:r>
            </m:e>
            <m:sub>
              <m:r>
                <m:t>2</m:t>
              </m:r>
              <m:r>
                <m:rPr>
                  <m:sty m:val="p"/>
                </m:rPr>
                <m:t>,</m:t>
              </m:r>
              <m:r>
                <m:t>C</m:t>
              </m:r>
            </m:sub>
          </m:sSub>
          <m:r>
            <m:rPr>
              <m:sty m:val="p"/>
            </m:rPr>
            <m:t>+</m:t>
          </m:r>
          <m:sSub>
            <m:e>
              <m:r>
                <m:t>W</m:t>
              </m:r>
            </m:e>
            <m:sub>
              <m:r>
                <m:t>3</m:t>
              </m:r>
              <m:r>
                <m:rPr>
                  <m:sty m:val="p"/>
                </m:rPr>
                <m:t>,</m:t>
              </m:r>
              <m:r>
                <m:t>G</m:t>
              </m:r>
            </m:sub>
          </m:sSub>
          <m:r>
            <m:rPr>
              <m:sty m:val="p"/>
            </m:rPr>
            <m:t>+</m:t>
          </m:r>
          <m:sSub>
            <m:e>
              <m:r>
                <m:t>W</m:t>
              </m:r>
            </m:e>
            <m:sub>
              <m:r>
                <m:t>4</m:t>
              </m:r>
              <m:r>
                <m:rPr>
                  <m:sty m:val="p"/>
                </m:rPr>
                <m:t>,</m:t>
              </m:r>
              <m:r>
                <m:t>G</m:t>
              </m:r>
            </m:sub>
          </m:sSub>
          <m:r>
            <m:rPr>
              <m:sty m:val="p"/>
            </m:rPr>
            <m:t>+</m:t>
          </m:r>
          <m:sSub>
            <m:e>
              <m:r>
                <m:t>W</m:t>
              </m:r>
            </m:e>
            <m:sub>
              <m:r>
                <m:t>5</m:t>
              </m:r>
              <m:r>
                <m:rPr>
                  <m:sty m:val="p"/>
                </m:rPr>
                <m:t>,</m:t>
              </m:r>
              <m:r>
                <m:t>C</m:t>
              </m:r>
            </m:sub>
          </m:sSub>
          <m:r>
            <m:rPr>
              <m:sty m:val="p"/>
            </m:rPr>
            <m:t>+</m:t>
          </m:r>
          <m:sSub>
            <m:e>
              <m:r>
                <m:t>W</m:t>
              </m:r>
            </m:e>
            <m:sub>
              <m:r>
                <m:t>6</m:t>
              </m:r>
              <m:r>
                <m:rPr>
                  <m:sty m:val="p"/>
                </m:rPr>
                <m:t>,</m:t>
              </m:r>
              <m:r>
                <m:t>A</m:t>
              </m:r>
            </m:sub>
          </m:sSub>
        </m:oMath>
      </m:oMathPara>
    </w:p>
    <w:p>
      <w:pPr>
        <w:pStyle w:val="FirstParagraph"/>
      </w:pPr>
      <m:oMathPara>
        <m:oMathParaPr>
          <m:jc m:val="center"/>
        </m:oMathParaPr>
        <m:oMath>
          <m:r>
            <m:rPr>
              <m:sty m:val="p"/>
            </m:rPr>
            <m:t>=</m:t>
          </m:r>
          <m:r>
            <m:t>3</m:t>
          </m:r>
          <m:r>
            <m:rPr>
              <m:sty m:val="p"/>
            </m:rPr>
            <m:t>+</m:t>
          </m:r>
          <m:r>
            <m:t>4</m:t>
          </m:r>
          <m:r>
            <m:rPr>
              <m:sty m:val="p"/>
            </m:rPr>
            <m:t>+</m:t>
          </m:r>
          <m:r>
            <m:t>2</m:t>
          </m:r>
          <m:r>
            <m:rPr>
              <m:sty m:val="p"/>
            </m:rPr>
            <m:t>+</m:t>
          </m:r>
          <m:r>
            <m:t>3</m:t>
          </m:r>
          <m:r>
            <m:rPr>
              <m:sty m:val="p"/>
            </m:rPr>
            <m:t>+</m:t>
          </m:r>
          <m:r>
            <m:t>3</m:t>
          </m:r>
          <m:r>
            <m:rPr>
              <m:sty m:val="p"/>
            </m:rPr>
            <m:t>+</m:t>
          </m:r>
          <m:r>
            <m:t>3</m:t>
          </m:r>
          <m:r>
            <m:rPr>
              <m:sty m:val="p"/>
            </m:rPr>
            <m:t>=</m:t>
          </m:r>
          <m:borderBox>
            <m:e>
              <m:r>
                <m:t>18</m:t>
              </m:r>
            </m:e>
          </m:borderBox>
        </m:oMath>
      </m:oMathPara>
    </w:p>
    <w:bookmarkEnd w:id="24"/>
    <w:bookmarkStart w:id="25" w:name="this-sum-is-a-dot-product"/>
    <w:p>
      <w:pPr>
        <w:pStyle w:val="Heading3"/>
      </w:pPr>
      <w:r>
        <w:t xml:space="preserve">This sum is a dot product</w:t>
      </w:r>
    </w:p>
    <w:p>
      <w:pPr>
        <w:pStyle w:val="FirstParagraph"/>
      </w:pPr>
      <w:r>
        <w:t xml:space="preserve">Encode the DNA site as a one-hot vector </w:t>
      </w:r>
      <m:oMath>
        <m:r>
          <m:rPr>
            <m:sty m:val="b"/>
          </m:rPr>
          <m:t>x</m:t>
        </m:r>
      </m:oMath>
      <w:r>
        <w:t xml:space="preserve"> (flattening the </w:t>
      </w:r>
      <m:oMath>
        <m:r>
          <m:t>6</m:t>
        </m:r>
        <m:r>
          <m:rPr>
            <m:sty m:val="p"/>
          </m:rPr>
          <m:t>×</m:t>
        </m:r>
        <m:r>
          <m:t>4</m:t>
        </m:r>
      </m:oMath>
      <w:r>
        <w:t xml:space="preserve"> one-hot matrix into 24 entries) and flatten the PWM into the corresponding 24-entry vector </w:t>
      </w:r>
      <m:oMath>
        <m:r>
          <m:rPr>
            <m:sty m:val="b"/>
          </m:rPr>
          <m:t>w</m:t>
        </m:r>
      </m:oMath>
      <w:r>
        <w:t xml:space="preserve">. Then:</w:t>
      </w:r>
    </w:p>
    <w:p>
      <w:pPr>
        <w:pStyle w:val="BodyText"/>
      </w:pPr>
      <m:oMathPara>
        <m:oMathParaPr>
          <m:jc m:val="center"/>
        </m:oMathParaPr>
        <m:oMath>
          <m:r>
            <m:t>S</m:t>
          </m:r>
          <m:r>
            <m:rPr>
              <m:sty m:val="p"/>
            </m:rPr>
            <m:t>=</m:t>
          </m:r>
          <m:r>
            <m:rPr>
              <m:sty m:val="b"/>
            </m:rPr>
            <m:t>w</m:t>
          </m:r>
          <m:r>
            <m:rPr>
              <m:sty m:val="p"/>
            </m:rPr>
            <m:t>⋅</m:t>
          </m:r>
          <m:r>
            <m:rPr>
              <m:sty m:val="b"/>
            </m:rPr>
            <m:t>x</m:t>
          </m:r>
          <m:r>
            <m:rPr>
              <m:sty m:val="p"/>
            </m:rPr>
            <m:t>=</m:t>
          </m:r>
          <m:nary>
            <m:naryPr>
              <m:chr m:val="∑"/>
              <m:limLoc m:val="undOvr"/>
              <m:subHide m:val="off"/>
              <m:supHide m:val="on"/>
            </m:naryPr>
            <m:sub>
              <m:r>
                <m:t>p</m:t>
              </m:r>
              <m:r>
                <m:rPr>
                  <m:sty m:val="p"/>
                </m:rPr>
                <m:t>,</m:t>
              </m:r>
              <m:r>
                <m:t>b</m:t>
              </m:r>
            </m:sub>
            <m:sup>
              <m:r>
                <m:t>​</m:t>
              </m:r>
            </m:sup>
            <m:e>
              <m:sSub>
                <m:e>
                  <m:r>
                    <m:t>W</m:t>
                  </m:r>
                </m:e>
                <m:sub>
                  <m:r>
                    <m:t>p</m:t>
                  </m:r>
                  <m:r>
                    <m:rPr>
                      <m:sty m:val="p"/>
                    </m:rPr>
                    <m:t>,</m:t>
                  </m:r>
                  <m:r>
                    <m:t>b</m:t>
                  </m:r>
                </m:sub>
              </m:sSub>
            </m:e>
          </m:nary>
          <m:r>
            <m:t> </m:t>
          </m:r>
          <m:sSub>
            <m:e>
              <m:r>
                <m:t>X</m:t>
              </m:r>
            </m:e>
            <m:sub>
              <m:r>
                <m:t>p</m:t>
              </m:r>
              <m:r>
                <m:rPr>
                  <m:sty m:val="p"/>
                </m:rPr>
                <m:t>,</m:t>
              </m:r>
              <m:r>
                <m:t>b</m:t>
              </m:r>
            </m:sub>
          </m:sSub>
          <m:r>
            <m:rPr>
              <m:sty m:val="p"/>
            </m:rPr>
            <m:t>=</m:t>
          </m:r>
          <m:r>
            <m:t>18</m:t>
          </m:r>
        </m:oMath>
      </m:oMathPara>
    </w:p>
    <w:p>
      <w:pPr>
        <w:pStyle w:val="FirstParagraph"/>
      </w:pPr>
      <w:r>
        <w:t xml:space="preserve">The one-hot </w:t>
      </w:r>
      <m:oMath>
        <m:r>
          <m:rPr>
            <m:sty m:val="b"/>
          </m:rPr>
          <m:t>x</m:t>
        </m:r>
      </m:oMath>
      <w:r>
        <w:t xml:space="preserve"> selects exactly one weight per position; the dot product sums them. </w:t>
      </w:r>
      <w:r>
        <w:rPr>
          <w:bCs/>
          <w:b/>
        </w:rPr>
        <w:t xml:space="preserve">The PWM lookup-and-sum IS the dot product </w:t>
      </w:r>
      <m:oMath>
        <m:r>
          <m:rPr>
            <m:sty m:val="b"/>
          </m:rPr>
          <m:t>q</m:t>
        </m:r>
        <m:r>
          <m:rPr>
            <m:sty m:val="p"/>
          </m:rPr>
          <m:t>⋅</m:t>
        </m:r>
        <m:r>
          <m:rPr>
            <m:sty m:val="b"/>
          </m:rPr>
          <m:t>k</m:t>
        </m:r>
      </m:oMath>
      <w:r>
        <w:t xml:space="preserve">, with the flattened PWM playing the role of the query </w:t>
      </w:r>
      <m:oMath>
        <m:r>
          <m:rPr>
            <m:sty m:val="b"/>
          </m:rPr>
          <m:t>q</m:t>
        </m:r>
      </m:oMath>
      <w:r>
        <w:t xml:space="preserve"> and the one-hot DNA playing the role of the key </w:t>
      </w:r>
      <m:oMath>
        <m:r>
          <m:rPr>
            <m:sty m:val="b"/>
          </m:rPr>
          <m:t>k</m:t>
        </m:r>
      </m:oMath>
      <w:r>
        <w:t xml:space="preserve">.</w:t>
      </w:r>
    </w:p>
    <w:bookmarkEnd w:id="25"/>
    <w:bookmarkStart w:id="26" w:name="contrast-a-non-consensus-site"/>
    <w:p>
      <w:pPr>
        <w:pStyle w:val="Heading3"/>
      </w:pPr>
      <w:r>
        <w:t xml:space="preserve">Contrast: a non-consensus site</w:t>
      </w:r>
    </w:p>
    <w:p>
      <w:pPr>
        <w:pStyle w:val="FirstParagraph"/>
      </w:pPr>
      <w:r>
        <w:t xml:space="preserve">Score TGCATG:</w:t>
      </w:r>
    </w:p>
    <w:p>
      <w:pPr>
        <w:pStyle w:val="BodyText"/>
      </w:pPr>
      <m:oMathPara>
        <m:oMathParaPr>
          <m:jc m:val="center"/>
        </m:oMathParaPr>
        <m:oMath>
          <m:r>
            <m:t>S</m:t>
          </m:r>
          <m:r>
            <m:rPr>
              <m:sty m:val="p"/>
            </m:rPr>
            <m:t>=</m:t>
          </m:r>
          <m:sSub>
            <m:e>
              <m:r>
                <m:t>W</m:t>
              </m:r>
            </m:e>
            <m:sub>
              <m:r>
                <m:t>1</m:t>
              </m:r>
              <m:r>
                <m:rPr>
                  <m:sty m:val="p"/>
                </m:rPr>
                <m:t>,</m:t>
              </m:r>
              <m:r>
                <m:t>T</m:t>
              </m:r>
            </m:sub>
          </m:sSub>
          <m:r>
            <m:rPr>
              <m:sty m:val="p"/>
            </m:rPr>
            <m:t>+</m:t>
          </m:r>
          <m:sSub>
            <m:e>
              <m:r>
                <m:t>W</m:t>
              </m:r>
            </m:e>
            <m:sub>
              <m:r>
                <m:t>2</m:t>
              </m:r>
              <m:r>
                <m:rPr>
                  <m:sty m:val="p"/>
                </m:rPr>
                <m:t>,</m:t>
              </m:r>
              <m:r>
                <m:t>G</m:t>
              </m:r>
            </m:sub>
          </m:sSub>
          <m:r>
            <m:rPr>
              <m:sty m:val="p"/>
            </m:rPr>
            <m:t>+</m:t>
          </m:r>
          <m:sSub>
            <m:e>
              <m:r>
                <m:t>W</m:t>
              </m:r>
            </m:e>
            <m:sub>
              <m:r>
                <m:t>3</m:t>
              </m:r>
              <m:r>
                <m:rPr>
                  <m:sty m:val="p"/>
                </m:rPr>
                <m:t>,</m:t>
              </m:r>
              <m:r>
                <m:t>C</m:t>
              </m:r>
            </m:sub>
          </m:sSub>
          <m:r>
            <m:rPr>
              <m:sty m:val="p"/>
            </m:rPr>
            <m:t>+</m:t>
          </m:r>
          <m:sSub>
            <m:e>
              <m:r>
                <m:t>W</m:t>
              </m:r>
            </m:e>
            <m:sub>
              <m:r>
                <m:t>4</m:t>
              </m:r>
              <m:r>
                <m:rPr>
                  <m:sty m:val="p"/>
                </m:rPr>
                <m:t>,</m:t>
              </m:r>
              <m:r>
                <m:t>A</m:t>
              </m:r>
            </m:sub>
          </m:sSub>
          <m:r>
            <m:rPr>
              <m:sty m:val="p"/>
            </m:rPr>
            <m:t>+</m:t>
          </m:r>
          <m:sSub>
            <m:e>
              <m:r>
                <m:t>W</m:t>
              </m:r>
            </m:e>
            <m:sub>
              <m:r>
                <m:t>5</m:t>
              </m:r>
              <m:r>
                <m:rPr>
                  <m:sty m:val="p"/>
                </m:rPr>
                <m:t>,</m:t>
              </m:r>
              <m:r>
                <m:t>T</m:t>
              </m:r>
            </m:sub>
          </m:sSub>
          <m:r>
            <m:rPr>
              <m:sty m:val="p"/>
            </m:rPr>
            <m:t>+</m:t>
          </m:r>
          <m:sSub>
            <m:e>
              <m:r>
                <m:t>W</m:t>
              </m:r>
            </m:e>
            <m:sub>
              <m:r>
                <m:t>6</m:t>
              </m:r>
              <m:r>
                <m:rPr>
                  <m:sty m:val="p"/>
                </m:rPr>
                <m:t>,</m:t>
              </m:r>
              <m:r>
                <m:t>G</m:t>
              </m:r>
            </m:sub>
          </m:sSub>
          <m:r>
            <m:rPr>
              <m:sty m:val="p"/>
            </m:rPr>
            <m:t>=−</m:t>
          </m:r>
          <m:r>
            <m:t>1</m:t>
          </m:r>
          <m:r>
            <m:rPr>
              <m:sty m:val="p"/>
            </m:rPr>
            <m:t>+</m:t>
          </m:r>
          <m:d>
            <m:dPr>
              <m:begChr m:val="("/>
              <m:endChr m:val=")"/>
              <m:sepChr m:val=""/>
              <m:grow/>
            </m:dPr>
            <m:e>
              <m:r>
                <m:rPr>
                  <m:sty m:val="p"/>
                </m:rPr>
                <m:t>−</m:t>
              </m:r>
              <m:r>
                <m:t>1</m:t>
              </m:r>
            </m:e>
          </m:d>
          <m:r>
            <m:rPr>
              <m:sty m:val="p"/>
            </m:rPr>
            <m:t>+</m:t>
          </m:r>
          <m:d>
            <m:dPr>
              <m:begChr m:val="("/>
              <m:endChr m:val=")"/>
              <m:sepChr m:val=""/>
              <m:grow/>
            </m:dPr>
            <m:e>
              <m:r>
                <m:rPr>
                  <m:sty m:val="p"/>
                </m:rPr>
                <m:t>−</m:t>
              </m:r>
              <m:r>
                <m:t>1</m:t>
              </m:r>
            </m:e>
          </m:d>
          <m:r>
            <m:rPr>
              <m:sty m:val="p"/>
            </m:rPr>
            <m:t>+</m:t>
          </m:r>
          <m:r>
            <m:t>1</m:t>
          </m:r>
          <m:r>
            <m:rPr>
              <m:sty m:val="p"/>
            </m:rPr>
            <m:t>+</m:t>
          </m:r>
          <m:r>
            <m:t>1</m:t>
          </m:r>
          <m:r>
            <m:rPr>
              <m:sty m:val="p"/>
            </m:rPr>
            <m:t>+</m:t>
          </m:r>
          <m:r>
            <m:t>0</m:t>
          </m:r>
          <m:r>
            <m:rPr>
              <m:sty m:val="p"/>
            </m:rPr>
            <m:t>=−</m:t>
          </m:r>
          <m:r>
            <m:t>1</m:t>
          </m:r>
        </m:oMath>
      </m:oMathPara>
    </w:p>
    <w:p>
      <w:pPr>
        <w:pStyle w:val="FirstParagraph"/>
      </w:pPr>
      <w:r>
        <w:t xml:space="preserve">The consensus site scores 18, the non-consensus site scores </w:t>
      </w:r>
      <m:oMath>
        <m:r>
          <m:rPr>
            <m:sty m:val="p"/>
          </m:rPr>
          <m:t>−</m:t>
        </m:r>
        <m:r>
          <m:t>1</m:t>
        </m:r>
      </m:oMath>
      <w:r>
        <w:t xml:space="preserve">. Feeding these into the convergence equation, the consensus site dominates the binding probability — exactly as a TF concentrates on its motif, and exactly as an attention head concentrates on its most compatible key.</w:t>
      </w:r>
    </w:p>
    <w:p>
      <w:r>
        <w:pict>
          <v:rect style="width:0;height:1.5pt" o:hralign="center" o:hrstd="t" o:hr="t"/>
        </w:pict>
      </w:r>
    </w:p>
    <w:bookmarkEnd w:id="26"/>
    <w:bookmarkEnd w:id="27"/>
    <w:bookmarkStart w:id="28" w:name="the-architecture-assembles-itself"/>
    <w:p>
      <w:pPr>
        <w:pStyle w:val="Heading2"/>
      </w:pPr>
      <w:r>
        <w:t xml:space="preserve">5. The Architecture Assembles Itself</w:t>
      </w:r>
    </w:p>
    <w:p>
      <w:pPr>
        <w:pStyle w:val="FirstParagraph"/>
      </w:pPr>
      <w:r>
        <w:t xml:space="preserve">The bilinear score </w:t>
      </w:r>
      <m:oMath>
        <m:r>
          <m:rPr>
            <m:sty m:val="b"/>
          </m:rPr>
          <m:t>q</m:t>
        </m:r>
        <m:r>
          <m:rPr>
            <m:sty m:val="p"/>
          </m:rPr>
          <m:t>⋅</m:t>
        </m:r>
        <m:sSub>
          <m:e>
            <m:r>
              <m:rPr>
                <m:sty m:val="b"/>
              </m:rPr>
              <m:t>k</m:t>
            </m:r>
          </m:e>
          <m:sub>
            <m:r>
              <m:t>j</m:t>
            </m:r>
          </m:sub>
        </m:sSub>
      </m:oMath>
      <w:r>
        <w:t xml:space="preserve"> dictates the architectural components:</w:t>
      </w:r>
    </w:p>
    <w:p>
      <w:pPr>
        <w:numPr>
          <w:ilvl w:val="0"/>
          <w:numId w:val="1002"/>
        </w:numPr>
        <w:pStyle w:val="Compact"/>
      </w:pPr>
      <w:r>
        <w:rPr>
          <w:bCs/>
          <w:b/>
        </w:rPr>
        <w:t xml:space="preserve">Something must produce </w:t>
      </w:r>
      <m:oMath>
        <m:r>
          <m:rPr>
            <m:sty m:val="b"/>
          </m:rPr>
          <m:t>q</m:t>
        </m:r>
      </m:oMath>
      <w:r>
        <w:t xml:space="preserve"> — an encoder for the agent molecule.</w:t>
      </w:r>
    </w:p>
    <w:p>
      <w:pPr>
        <w:numPr>
          <w:ilvl w:val="0"/>
          <w:numId w:val="1002"/>
        </w:numPr>
        <w:pStyle w:val="Compact"/>
      </w:pPr>
      <w:r>
        <w:rPr>
          <w:bCs/>
          <w:b/>
        </w:rPr>
        <w:t xml:space="preserve">Something must produce </w:t>
      </w:r>
      <m:oMath>
        <m:sSub>
          <m:e>
            <m:r>
              <m:rPr>
                <m:sty m:val="b"/>
              </m:rPr>
              <m:t>k</m:t>
            </m:r>
          </m:e>
          <m:sub>
            <m:r>
              <m:t>j</m:t>
            </m:r>
          </m:sub>
        </m:sSub>
      </m:oMath>
      <w:r>
        <w:t xml:space="preserve"> — an encoder for the target molecule.</w:t>
      </w:r>
    </w:p>
    <w:p>
      <w:pPr>
        <w:numPr>
          <w:ilvl w:val="0"/>
          <w:numId w:val="1002"/>
        </w:numPr>
        <w:pStyle w:val="Compact"/>
      </w:pPr>
      <w:r>
        <w:t xml:space="preserve">Since agents and targets are different molecule types (antibody vs. antigen, TF vs. DNA), these are </w:t>
      </w:r>
      <w:r>
        <w:rPr>
          <w:bCs/>
          <w:b/>
        </w:rPr>
        <w:t xml:space="preserve">two separate encoders</w:t>
      </w:r>
      <w:r>
        <w:t xml:space="preserve"> — </w:t>
      </w:r>
      <w:r>
        <w:rPr>
          <w:iCs/>
          <w:i/>
        </w:rPr>
        <w:t xml:space="preserve">dual encoders</w:t>
      </w:r>
      <w:r>
        <w:t xml:space="preserve">.</w:t>
      </w:r>
    </w:p>
    <w:p>
      <w:pPr>
        <w:numPr>
          <w:ilvl w:val="0"/>
          <w:numId w:val="1002"/>
        </w:numPr>
        <w:pStyle w:val="Compact"/>
      </w:pPr>
      <w:r>
        <w:rPr>
          <w:bCs/>
          <w:b/>
        </w:rPr>
        <w:t xml:space="preserve">The interaction is a dot product</w:t>
      </w:r>
      <w:r>
        <w:t xml:space="preserve"> between the two encoder outputs — </w:t>
      </w:r>
      <w:r>
        <w:rPr>
          <w:iCs/>
          <w:i/>
        </w:rPr>
        <w:t xml:space="preserve">cross-attention</w:t>
      </w:r>
      <w:r>
        <w:t xml:space="preserve">.</w:t>
      </w:r>
    </w:p>
    <w:p>
      <w:pPr>
        <w:numPr>
          <w:ilvl w:val="0"/>
          <w:numId w:val="1002"/>
        </w:numPr>
        <w:pStyle w:val="Compact"/>
      </w:pPr>
      <w:r>
        <w:rPr>
          <w:bCs/>
          <w:b/>
        </w:rPr>
        <w:t xml:space="preserve">The selection is the softmax over the pool</w:t>
      </w:r>
      <w:r>
        <w:t xml:space="preserve"> — the convergence equation.</w:t>
      </w:r>
    </w:p>
    <w:p>
      <w:pPr>
        <w:pStyle w:val="FirstParagraph"/>
      </w:pPr>
      <w:r>
        <w:t xml:space="preserve">None of these components is a design choice. Each is forced by the bilinear structure of the score and the uniqueness of the convergence equation. The skeleton — dual encoders, dot-product cross-attention, softmax — is prescribed.</w:t>
      </w:r>
    </w:p>
    <w:p>
      <w:r>
        <w:pict>
          <v:rect style="width:0;height:1.5pt" o:hralign="center" o:hrstd="t" o:hr="t"/>
        </w:pict>
      </w:r>
    </w:p>
    <w:bookmarkEnd w:id="28"/>
    <w:bookmarkStart w:id="29" w:name="given-vs.-emergent-bilinearity"/>
    <w:p>
      <w:pPr>
        <w:pStyle w:val="Heading2"/>
      </w:pPr>
      <w:r>
        <w:t xml:space="preserve">6. Given vs. Emergent Bilinearity</w:t>
      </w:r>
    </w:p>
    <w:p>
      <w:pPr>
        <w:pStyle w:val="FirstParagraph"/>
      </w:pPr>
      <w:r>
        <w:t xml:space="preserve">The same architecture serves both regimes; only what fills the encoder slots changes.</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trPr>
        <w:tc>
          <w:tcPr/>
          <w:p>
            <w:pPr>
              <w:pStyle w:val="Compact"/>
            </w:pPr>
          </w:p>
        </w:tc>
        <w:tc>
          <w:tcPr/>
          <w:p>
            <w:pPr>
              <w:pStyle w:val="Compact"/>
              <w:jc w:val="left"/>
            </w:pPr>
            <w:r>
              <w:t xml:space="preserve">Given bilinearity</w:t>
            </w:r>
          </w:p>
        </w:tc>
        <w:tc>
          <w:tcPr/>
          <w:p>
            <w:pPr>
              <w:pStyle w:val="Compact"/>
              <w:jc w:val="left"/>
            </w:pPr>
            <w:r>
              <w:t xml:space="preserve">Emergent bilinearity</w:t>
            </w:r>
          </w:p>
        </w:tc>
      </w:tr>
      <w:tr>
        <w:tc>
          <w:tcPr/>
          <w:p>
            <w:pPr>
              <w:pStyle w:val="Compact"/>
              <w:jc w:val="left"/>
            </w:pPr>
            <w:r>
              <w:t xml:space="preserve">Domains</w:t>
            </w:r>
          </w:p>
        </w:tc>
        <w:tc>
          <w:tcPr/>
          <w:p>
            <w:pPr>
              <w:pStyle w:val="Compact"/>
              <w:jc w:val="left"/>
            </w:pPr>
            <w:r>
              <w:t xml:space="preserve">TF–DNA, miRNA–mRNA, CRISPR</w:t>
            </w:r>
          </w:p>
        </w:tc>
        <w:tc>
          <w:tcPr/>
          <w:p>
            <w:pPr>
              <w:pStyle w:val="Compact"/>
              <w:jc w:val="left"/>
            </w:pPr>
            <w:r>
              <w:t xml:space="preserve">Ab–Ag, TCR–pMHC, enzyme–substrate, drug–target</w:t>
            </w:r>
          </w:p>
        </w:tc>
      </w:tr>
      <w:tr>
        <w:tc>
          <w:tcPr/>
          <w:p>
            <w:pPr>
              <w:pStyle w:val="Compact"/>
              <w:jc w:val="left"/>
            </w:pPr>
            <m:oMath>
              <m:r>
                <m:rPr>
                  <m:sty m:val="b"/>
                </m:rPr>
                <m:t>q</m:t>
              </m:r>
            </m:oMath>
            <w:r>
              <w:t xml:space="preserve">, </w:t>
            </w:r>
            <m:oMath>
              <m:r>
                <m:rPr>
                  <m:sty m:val="b"/>
                </m:rPr>
                <m:t>k</m:t>
              </m:r>
            </m:oMath>
          </w:p>
        </w:tc>
        <w:tc>
          <w:tcPr/>
          <w:p>
            <w:pPr>
              <w:pStyle w:val="Compact"/>
              <w:jc w:val="left"/>
            </w:pPr>
            <w:r>
              <w:t xml:space="preserve">Physical / interpretable (PWM, NN params, one-hot)</w:t>
            </w:r>
          </w:p>
        </w:tc>
        <w:tc>
          <w:tcPr/>
          <w:p>
            <w:pPr>
              <w:pStyle w:val="Compact"/>
              <w:jc w:val="left"/>
            </w:pPr>
            <w:r>
              <w:t xml:space="preserve">Learned embeddings (ESM-2, AntiBERTy, DNABERT-2)</w:t>
            </w:r>
          </w:p>
        </w:tc>
      </w:tr>
      <w:tr>
        <w:tc>
          <w:tcPr/>
          <w:p>
            <w:pPr>
              <w:pStyle w:val="Compact"/>
              <w:jc w:val="left"/>
            </w:pPr>
            <w:r>
              <w:t xml:space="preserve">Encoder</w:t>
            </w:r>
          </w:p>
        </w:tc>
        <w:tc>
          <w:tcPr/>
          <w:p>
            <w:pPr>
              <w:pStyle w:val="Compact"/>
              <w:jc w:val="left"/>
            </w:pPr>
            <w:r>
              <w:t xml:space="preserve">Identity or lookup; form known from physics</w:t>
            </w:r>
          </w:p>
        </w:tc>
        <w:tc>
          <w:tcPr/>
          <w:p>
            <w:pPr>
              <w:pStyle w:val="Compact"/>
              <w:jc w:val="left"/>
            </w:pPr>
            <w:r>
              <w:t xml:space="preserve">Pretrained language model; form learned from data</w:t>
            </w:r>
          </w:p>
        </w:tc>
      </w:tr>
      <w:tr>
        <w:tc>
          <w:tcPr/>
          <w:p>
            <w:pPr>
              <w:pStyle w:val="Compact"/>
              <w:jc w:val="left"/>
            </w:pPr>
            <w:r>
              <w:t xml:space="preserve">Score basis</w:t>
            </w:r>
          </w:p>
        </w:tc>
        <w:tc>
          <w:tcPr/>
          <w:p>
            <w:pPr>
              <w:pStyle w:val="Compact"/>
              <w:jc w:val="left"/>
            </w:pPr>
            <w:r>
              <w:t xml:space="preserve">Raw sequence space</w:t>
            </w:r>
          </w:p>
        </w:tc>
        <w:tc>
          <w:tcPr/>
          <w:p>
            <w:pPr>
              <w:pStyle w:val="Compact"/>
              <w:jc w:val="left"/>
            </w:pPr>
            <w:r>
              <w:t xml:space="preserve">Learned embedding space</w:t>
            </w:r>
          </w:p>
        </w:tc>
      </w:tr>
      <w:tr>
        <w:tc>
          <w:tcPr/>
          <w:p>
            <w:pPr>
              <w:pStyle w:val="Compact"/>
              <w:jc w:val="left"/>
            </w:pPr>
            <w:r>
              <w:t xml:space="preserve">Architecture</w:t>
            </w:r>
          </w:p>
        </w:tc>
        <w:tc>
          <w:tcPr/>
          <w:p>
            <w:pPr>
              <w:pStyle w:val="Compact"/>
              <w:jc w:val="left"/>
            </w:pPr>
            <w:r>
              <w:t xml:space="preserve">dual encoders + dot product + softmax</w:t>
            </w:r>
          </w:p>
        </w:tc>
        <w:tc>
          <w:tcPr/>
          <w:p>
            <w:pPr>
              <w:pStyle w:val="Compact"/>
              <w:jc w:val="left"/>
            </w:pPr>
            <w:r>
              <w:t xml:space="preserve">dual encoders + dot product + softmax</w:t>
            </w:r>
          </w:p>
        </w:tc>
      </w:tr>
    </w:tbl>
    <w:p>
      <w:pPr>
        <w:pStyle w:val="BodyText"/>
      </w:pPr>
      <w:r>
        <w:t xml:space="preserve">The architecture is identical. The convergence equation does not care whether the dot product lives in raw sequence space or a learned embedding space — it only requires that the score be a dot product. This is why the same SFM code trains across both regimes (Lecture 8).</w:t>
      </w:r>
    </w:p>
    <w:p>
      <w:r>
        <w:pict>
          <v:rect style="width:0;height:1.5pt" o:hralign="center" o:hrstd="t" o:hr="t"/>
        </w:pict>
      </w:r>
    </w:p>
    <w:bookmarkEnd w:id="29"/>
    <w:bookmarkStart w:id="30" w:name="Xc718cdff7008480b46b56595fde7f315ac45b79"/>
    <w:p>
      <w:pPr>
        <w:pStyle w:val="Heading2"/>
      </w:pPr>
      <w:r>
        <w:t xml:space="preserve">7. Multi-Head Attention = Multiple Contact Regions</w:t>
      </w:r>
    </w:p>
    <w:p>
      <w:pPr>
        <w:pStyle w:val="FirstParagraph"/>
      </w:pPr>
      <w:r>
        <w:t xml:space="preserve">A single dot product </w:t>
      </w:r>
      <m:oMath>
        <m:r>
          <m:rPr>
            <m:sty m:val="b"/>
          </m:rPr>
          <m:t>q</m:t>
        </m:r>
        <m:r>
          <m:rPr>
            <m:sty m:val="p"/>
          </m:rPr>
          <m:t>⋅</m:t>
        </m:r>
        <m:sSub>
          <m:e>
            <m:r>
              <m:rPr>
                <m:sty m:val="b"/>
              </m:rPr>
              <m:t>k</m:t>
            </m:r>
          </m:e>
          <m:sub>
            <m:r>
              <m:t>j</m:t>
            </m:r>
          </m:sub>
        </m:sSub>
      </m:oMath>
      <w:r>
        <w:t xml:space="preserve"> produces one scalar compatibility score. But an antibody does not contact its antigen at a single point — its six </w:t>
      </w:r>
      <w:r>
        <w:rPr>
          <w:bCs/>
          <w:b/>
        </w:rPr>
        <w:t xml:space="preserve">CDR loops</w:t>
      </w:r>
      <w:r>
        <w:t xml:space="preserve"> (CDRH1, H2, H3, CDRL1, L2, L3) each contact a different region of the epitope surface. The total binding energy is a sum over these distinct contact regions.</w:t>
      </w:r>
    </w:p>
    <w:p>
      <w:pPr>
        <w:pStyle w:val="BodyText"/>
      </w:pPr>
      <w:r>
        <w:t xml:space="preserve">This is exactly what </w:t>
      </w:r>
      <w:r>
        <w:rPr>
          <w:bCs/>
          <w:b/>
        </w:rPr>
        <w:t xml:space="preserve">multi-head attention</w:t>
      </w:r>
      <w:r>
        <w:t xml:space="preserve"> computes. With </w:t>
      </w:r>
      <m:oMath>
        <m:r>
          <m:t>H</m:t>
        </m:r>
      </m:oMath>
      <w:r>
        <w:t xml:space="preserve"> heads, the agent and target are each projected into </w:t>
      </w:r>
      <m:oMath>
        <m:r>
          <m:t>H</m:t>
        </m:r>
      </m:oMath>
      <w:r>
        <w:t xml:space="preserve"> separate subspaces, a dot product is computed in each, and the results are combined:</w:t>
      </w:r>
    </w:p>
    <w:p>
      <w:pPr>
        <w:pStyle w:val="BodyText"/>
      </w:pPr>
      <m:oMathPara>
        <m:oMathParaPr>
          <m:jc m:val="center"/>
        </m:oMathParaPr>
        <m:oMath>
          <m:r>
            <m:rPr>
              <m:nor/>
              <m:sty m:val="p"/>
            </m:rPr>
            <m:t>MultiHead</m:t>
          </m:r>
          <m:d>
            <m:dPr>
              <m:begChr m:val="("/>
              <m:endChr m:val=")"/>
              <m:sepChr m:val=""/>
              <m:grow/>
            </m:dPr>
            <m:e>
              <m:r>
                <m:rPr>
                  <m:sty m:val="b"/>
                </m:rPr>
                <m:t>q</m:t>
              </m:r>
              <m:r>
                <m:rPr>
                  <m:sty m:val="p"/>
                </m:rPr>
                <m:t>,</m:t>
              </m:r>
              <m:r>
                <m:rPr>
                  <m:sty m:val="b"/>
                </m:rPr>
                <m:t>k</m:t>
              </m:r>
            </m:e>
          </m:d>
          <m:r>
            <m:rPr>
              <m:sty m:val="p"/>
            </m:rPr>
            <m:t>=</m:t>
          </m:r>
          <m:r>
            <m:rPr>
              <m:nor/>
              <m:sty m:val="p"/>
            </m:rPr>
            <m:t>Concat</m:t>
          </m:r>
          <m:d>
            <m:dPr>
              <m:begChr m:val="("/>
              <m:endChr m:val=")"/>
              <m:sepChr m:val=""/>
              <m:grow/>
            </m:dPr>
            <m:e>
              <m:sSub>
                <m:e>
                  <m:r>
                    <m:rPr>
                      <m:nor/>
                      <m:sty m:val="p"/>
                    </m:rPr>
                    <m:t>head</m:t>
                  </m:r>
                </m:e>
                <m:sub>
                  <m:r>
                    <m:t>1</m:t>
                  </m:r>
                </m:sub>
              </m:sSub>
              <m:r>
                <m:rPr>
                  <m:sty m:val="p"/>
                </m:rPr>
                <m:t>,…,</m:t>
              </m:r>
              <m:sSub>
                <m:e>
                  <m:r>
                    <m:rPr>
                      <m:nor/>
                      <m:sty m:val="p"/>
                    </m:rPr>
                    <m:t>head</m:t>
                  </m:r>
                </m:e>
                <m:sub>
                  <m:r>
                    <m:t>H</m:t>
                  </m:r>
                </m:sub>
              </m:sSub>
            </m:e>
          </m:d>
          <m:r>
            <m:rPr>
              <m:sty m:val="p"/>
            </m:rPr>
            <m:t>,</m:t>
          </m:r>
          <m:r>
            <m:t>  </m:t>
          </m:r>
          <m:sSub>
            <m:e>
              <m:r>
                <m:rPr>
                  <m:nor/>
                  <m:sty m:val="p"/>
                </m:rPr>
                <m:t>head</m:t>
              </m:r>
            </m:e>
            <m:sub>
              <m:r>
                <m:t>h</m:t>
              </m:r>
            </m:sub>
          </m:sSub>
          <m:r>
            <m:rPr>
              <m:sty m:val="p"/>
            </m:rPr>
            <m:t>=</m:t>
          </m:r>
          <m:sSup>
            <m:e>
              <m:r>
                <m:rPr>
                  <m:sty m:val="b"/>
                </m:rPr>
                <m:t>q</m:t>
              </m:r>
            </m:e>
            <m:sup>
              <m:d>
                <m:dPr>
                  <m:begChr m:val="("/>
                  <m:endChr m:val=")"/>
                  <m:sepChr m:val=""/>
                  <m:grow/>
                </m:dPr>
                <m:e>
                  <m:r>
                    <m:t>h</m:t>
                  </m:r>
                </m:e>
              </m:d>
            </m:sup>
          </m:sSup>
          <m:r>
            <m:rPr>
              <m:sty m:val="p"/>
            </m:rPr>
            <m:t>⋅</m:t>
          </m:r>
          <m:sSup>
            <m:e>
              <m:r>
                <m:rPr>
                  <m:sty m:val="b"/>
                </m:rPr>
                <m:t>k</m:t>
              </m:r>
            </m:e>
            <m:sup>
              <m:d>
                <m:dPr>
                  <m:begChr m:val="("/>
                  <m:endChr m:val=")"/>
                  <m:sepChr m:val=""/>
                  <m:grow/>
                </m:dPr>
                <m:e>
                  <m:r>
                    <m:t>h</m:t>
                  </m:r>
                </m:e>
              </m:d>
            </m:sup>
          </m:sSup>
        </m:oMath>
      </m:oMathPara>
    </w:p>
    <w:p>
      <w:pPr>
        <w:pStyle w:val="FirstParagraph"/>
      </w:pPr>
      <w:r>
        <w:t xml:space="preserve">Each head attends to a different contact region — the architectural image of multiple CDR loops contacting multiple epitope patches. For </w:t>
      </w:r>
      <w:r>
        <w:rPr>
          <w:bCs/>
          <w:b/>
        </w:rPr>
        <w:t xml:space="preserve">emergent</w:t>
      </w:r>
      <w:r>
        <w:t xml:space="preserve"> antibody–antigen binding, the multi-head structure is not optional: distributed contacts across a 3D interface cannot be captured by a single scalar dot product. The CDR loops </w:t>
      </w:r>
      <w:r>
        <w:rPr>
          <w:iCs/>
          <w:i/>
        </w:rPr>
        <w:t xml:space="preserve">are</w:t>
      </w:r>
      <w:r>
        <w:t xml:space="preserve"> the attention heads. (Computational Convergence, Supplementary Note S1, develops this correspondence for adaptive immune recognition.)</w:t>
      </w:r>
    </w:p>
    <w:p>
      <w:r>
        <w:pict>
          <v:rect style="width:0;height:1.5pt" o:hralign="center" o:hrstd="t" o:hr="t"/>
        </w:pict>
      </w:r>
    </w:p>
    <w:bookmarkEnd w:id="30"/>
    <w:bookmarkStart w:id="31" w:name="concentration-enters-as-a-bias-term"/>
    <w:p>
      <w:pPr>
        <w:pStyle w:val="Heading2"/>
      </w:pPr>
      <w:r>
        <w:t xml:space="preserve">8. Concentration Enters as a Bias Term</w:t>
      </w:r>
    </w:p>
    <w:p>
      <w:pPr>
        <w:pStyle w:val="FirstParagraph"/>
      </w:pPr>
      <w:r>
        <w:t xml:space="preserve">The convergence equation as written assumes all targets are present at equal concentration. When concentrations differ — for instance, an enzyme choosing among substrates at unequal concentrations — the physics adds a term, </w:t>
      </w:r>
      <w:r>
        <w:rPr>
          <w:bCs/>
          <w:b/>
        </w:rPr>
        <w:t xml:space="preserve">exactly</w:t>
      </w:r>
      <w:r>
        <w:t xml:space="preserve">, with no approximation.</w:t>
      </w:r>
    </w:p>
    <w:p>
      <w:pPr>
        <w:pStyle w:val="BodyText"/>
      </w:pPr>
      <w:r>
        <w:t xml:space="preserve">At thermal equilibrium, the probability of binding target </w:t>
      </w:r>
      <m:oMath>
        <m:r>
          <m:t>j</m:t>
        </m:r>
      </m:oMath>
      <w:r>
        <w:t xml:space="preserve"> is weighted by both the Boltzmann factor and the target’s concentration </w:t>
      </w:r>
      <m:oMath>
        <m:d>
          <m:dPr>
            <m:begChr m:val="["/>
            <m:endChr m:val="]"/>
            <m:sepChr m:val=""/>
            <m:grow/>
          </m:dPr>
          <m:e>
            <m:sSub>
              <m:e>
                <m:r>
                  <m:t>S</m:t>
                </m:r>
              </m:e>
              <m:sub>
                <m:r>
                  <m:t>j</m:t>
                </m:r>
              </m:sub>
            </m:sSub>
          </m:e>
        </m:d>
      </m:oMath>
      <w:r>
        <w:t xml:space="preserve">:</w:t>
      </w:r>
    </w:p>
    <w:p>
      <w:pPr>
        <w:pStyle w:val="BodyText"/>
      </w:pPr>
      <m:oMathPara>
        <m:oMathParaPr>
          <m:jc m:val="center"/>
        </m:oMathParaPr>
        <m:oMath>
          <m:r>
            <m:t>P</m:t>
          </m:r>
          <m:d>
            <m:dPr>
              <m:begChr m:val="("/>
              <m:endChr m:val=")"/>
              <m:sepChr m:val=""/>
              <m:grow/>
            </m:dPr>
            <m:e>
              <m:r>
                <m:rPr>
                  <m:nor/>
                  <m:sty m:val="p"/>
                </m:rPr>
                <m:t>bind </m:t>
              </m:r>
              <m:r>
                <m:t>j</m:t>
              </m:r>
            </m:e>
          </m:d>
          <m:r>
            <m:rPr>
              <m:sty m:val="p"/>
            </m:rPr>
            <m:t>=</m:t>
          </m:r>
          <m:f>
            <m:fPr>
              <m:type m:val="bar"/>
            </m:fPr>
            <m:num>
              <m:d>
                <m:dPr>
                  <m:begChr m:val="["/>
                  <m:endChr m:val="]"/>
                  <m:sepChr m:val=""/>
                  <m:grow/>
                </m:dPr>
                <m:e>
                  <m:sSub>
                    <m:e>
                      <m:r>
                        <m:t>S</m:t>
                      </m:r>
                    </m:e>
                    <m:sub>
                      <m:r>
                        <m:t>j</m:t>
                      </m:r>
                    </m:sub>
                  </m:sSub>
                </m:e>
              </m:d>
              <m:r>
                <m:t> </m:t>
              </m:r>
              <m:r>
                <m:rPr>
                  <m:sty m:val="p"/>
                </m:rPr>
                <m:t>exp</m:t>
              </m:r>
              <m:d>
                <m:dPr>
                  <m:begChr m:val="("/>
                  <m:endChr m:val=")"/>
                  <m:sepChr m:val=""/>
                  <m:grow/>
                </m:dPr>
                <m:e>
                  <m:r>
                    <m:rPr>
                      <m:sty m:val="p"/>
                    </m:rPr>
                    <m:t>−</m:t>
                  </m:r>
                  <m:r>
                    <m:t>Δ</m:t>
                  </m:r>
                  <m:sSub>
                    <m:e>
                      <m:r>
                        <m:t>G</m:t>
                      </m:r>
                    </m:e>
                    <m:sub>
                      <m:r>
                        <m:t>j</m:t>
                      </m:r>
                    </m:sub>
                  </m:sSub>
                  <m:r>
                    <m:rPr>
                      <m:sty m:val="p"/>
                    </m:rPr>
                    <m:t>/</m:t>
                  </m:r>
                  <m:r>
                    <m:t>RT</m:t>
                  </m:r>
                </m:e>
              </m:d>
            </m:num>
            <m:den>
              <m:nary>
                <m:naryPr>
                  <m:chr m:val="∑"/>
                  <m:limLoc m:val="undOvr"/>
                  <m:subHide m:val="off"/>
                  <m:supHide m:val="on"/>
                </m:naryPr>
                <m:sub>
                  <m:r>
                    <m:t>l</m:t>
                  </m:r>
                </m:sub>
                <m:sup>
                  <m:r>
                    <m:t>​</m:t>
                  </m:r>
                </m:sup>
                <m:e>
                  <m:d>
                    <m:dPr>
                      <m:begChr m:val="["/>
                      <m:endChr m:val="]"/>
                      <m:sepChr m:val=""/>
                      <m:grow/>
                    </m:dPr>
                    <m:e>
                      <m:sSub>
                        <m:e>
                          <m:r>
                            <m:t>S</m:t>
                          </m:r>
                        </m:e>
                        <m:sub>
                          <m:r>
                            <m:t>l</m:t>
                          </m:r>
                        </m:sub>
                      </m:sSub>
                    </m:e>
                  </m:d>
                </m:e>
              </m:nary>
              <m:r>
                <m:t> </m:t>
              </m:r>
              <m:r>
                <m:rPr>
                  <m:sty m:val="p"/>
                </m:rPr>
                <m:t>exp</m:t>
              </m:r>
              <m:d>
                <m:dPr>
                  <m:begChr m:val="("/>
                  <m:endChr m:val=")"/>
                  <m:sepChr m:val=""/>
                  <m:grow/>
                </m:dPr>
                <m:e>
                  <m:r>
                    <m:rPr>
                      <m:sty m:val="p"/>
                    </m:rPr>
                    <m:t>−</m:t>
                  </m:r>
                  <m:r>
                    <m:t>Δ</m:t>
                  </m:r>
                  <m:sSub>
                    <m:e>
                      <m:r>
                        <m:t>G</m:t>
                      </m:r>
                    </m:e>
                    <m:sub>
                      <m:r>
                        <m:t>l</m:t>
                      </m:r>
                    </m:sub>
                  </m:sSub>
                  <m:r>
                    <m:rPr>
                      <m:sty m:val="p"/>
                    </m:rPr>
                    <m:t>/</m:t>
                  </m:r>
                  <m:r>
                    <m:t>RT</m:t>
                  </m:r>
                </m:e>
              </m:d>
            </m:den>
          </m:f>
        </m:oMath>
      </m:oMathPara>
    </w:p>
    <w:p>
      <w:pPr>
        <w:pStyle w:val="FirstParagraph"/>
      </w:pPr>
      <w:r>
        <w:t xml:space="preserve">Using </w:t>
      </w:r>
      <m:oMath>
        <m:d>
          <m:dPr>
            <m:begChr m:val="["/>
            <m:endChr m:val="]"/>
            <m:sepChr m:val=""/>
            <m:grow/>
          </m:dPr>
          <m:e>
            <m:sSub>
              <m:e>
                <m:r>
                  <m:t>S</m:t>
                </m:r>
              </m:e>
              <m:sub>
                <m:r>
                  <m:t>j</m:t>
                </m:r>
              </m:sub>
            </m:sSub>
          </m:e>
        </m:d>
        <m:r>
          <m:rPr>
            <m:sty m:val="p"/>
          </m:rPr>
          <m:t>=exp</m:t>
        </m:r>
        <m:d>
          <m:dPr>
            <m:begChr m:val="("/>
            <m:endChr m:val=")"/>
            <m:sepChr m:val=""/>
            <m:grow/>
          </m:dPr>
          <m:e>
            <m:r>
              <m:rPr>
                <m:sty m:val="p"/>
              </m:rPr>
              <m:t>ln</m:t>
            </m:r>
            <m:d>
              <m:dPr>
                <m:begChr m:val="["/>
                <m:endChr m:val="]"/>
                <m:sepChr m:val=""/>
                <m:grow/>
              </m:dPr>
              <m:e>
                <m:sSub>
                  <m:e>
                    <m:r>
                      <m:t>S</m:t>
                    </m:r>
                  </m:e>
                  <m:sub>
                    <m:r>
                      <m:t>j</m:t>
                    </m:r>
                  </m:sub>
                </m:sSub>
              </m:e>
            </m:d>
          </m:e>
        </m:d>
      </m:oMath>
      <w:r>
        <w:t xml:space="preserve">, fold the concentration into the exponent:</w:t>
      </w:r>
    </w:p>
    <w:p>
      <w:pPr>
        <w:pStyle w:val="BodyText"/>
      </w:pPr>
      <m:oMathPara>
        <m:oMathParaPr>
          <m:jc m:val="center"/>
        </m:oMathParaPr>
        <m:oMath>
          <m:r>
            <m:t>P</m:t>
          </m:r>
          <m:d>
            <m:dPr>
              <m:begChr m:val="("/>
              <m:endChr m:val=")"/>
              <m:sepChr m:val=""/>
              <m:grow/>
            </m:dPr>
            <m:e>
              <m:r>
                <m:rPr>
                  <m:nor/>
                  <m:sty m:val="p"/>
                </m:rPr>
                <m:t>bind </m:t>
              </m:r>
              <m:r>
                <m:t>j</m:t>
              </m:r>
            </m:e>
          </m:d>
          <m:r>
            <m:rPr>
              <m:sty m:val="p"/>
            </m:rPr>
            <m:t>=</m:t>
          </m:r>
          <m:f>
            <m:fPr>
              <m:type m:val="bar"/>
            </m:fPr>
            <m:num>
              <m:r>
                <m:rPr>
                  <m:sty m:val="p"/>
                </m:rPr>
                <m:t>exp</m:t>
              </m:r>
              <m:r>
                <m:t>​</m:t>
              </m:r>
              <m:d>
                <m:dPr>
                  <m:begChr m:val="("/>
                  <m:endChr m:val=")"/>
                  <m:sepChr m:val=""/>
                  <m:grow/>
                </m:dPr>
                <m:e>
                  <m:r>
                    <m:rPr>
                      <m:sty m:val="p"/>
                    </m:rPr>
                    <m:t>−</m:t>
                  </m:r>
                  <m:r>
                    <m:t>Δ</m:t>
                  </m:r>
                  <m:sSub>
                    <m:e>
                      <m:r>
                        <m:t>G</m:t>
                      </m:r>
                    </m:e>
                    <m:sub>
                      <m:r>
                        <m:t>j</m:t>
                      </m:r>
                    </m:sub>
                  </m:sSub>
                  <m:r>
                    <m:rPr>
                      <m:sty m:val="p"/>
                    </m:rPr>
                    <m:t>/</m:t>
                  </m:r>
                  <m:r>
                    <m:t>RT</m:t>
                  </m:r>
                  <m:r>
                    <m:rPr>
                      <m:sty m:val="p"/>
                    </m:rPr>
                    <m:t>+ln</m:t>
                  </m:r>
                  <m:d>
                    <m:dPr>
                      <m:begChr m:val="["/>
                      <m:endChr m:val="]"/>
                      <m:sepChr m:val=""/>
                      <m:grow/>
                    </m:dPr>
                    <m:e>
                      <m:sSub>
                        <m:e>
                          <m:r>
                            <m:t>S</m:t>
                          </m:r>
                        </m:e>
                        <m:sub>
                          <m:r>
                            <m:t>j</m:t>
                          </m:r>
                        </m:sub>
                      </m:sSub>
                    </m:e>
                  </m:d>
                </m:e>
              </m:d>
            </m:num>
            <m:den>
              <m:nary>
                <m:naryPr>
                  <m:chr m:val="∑"/>
                  <m:limLoc m:val="undOvr"/>
                  <m:subHide m:val="off"/>
                  <m:supHide m:val="on"/>
                </m:naryPr>
                <m:sub>
                  <m:r>
                    <m:t>l</m:t>
                  </m:r>
                </m:sub>
                <m:sup>
                  <m:r>
                    <m:t>​</m:t>
                  </m:r>
                </m:sup>
                <m:e>
                  <m:r>
                    <m:rPr>
                      <m:sty m:val="p"/>
                    </m:rPr>
                    <m:t>exp</m:t>
                  </m:r>
                </m:e>
              </m:nary>
              <m:r>
                <m:t>​</m:t>
              </m:r>
              <m:d>
                <m:dPr>
                  <m:begChr m:val="("/>
                  <m:endChr m:val=")"/>
                  <m:sepChr m:val=""/>
                  <m:grow/>
                </m:dPr>
                <m:e>
                  <m:r>
                    <m:rPr>
                      <m:sty m:val="p"/>
                    </m:rPr>
                    <m:t>−</m:t>
                  </m:r>
                  <m:r>
                    <m:t>Δ</m:t>
                  </m:r>
                  <m:sSub>
                    <m:e>
                      <m:r>
                        <m:t>G</m:t>
                      </m:r>
                    </m:e>
                    <m:sub>
                      <m:r>
                        <m:t>l</m:t>
                      </m:r>
                    </m:sub>
                  </m:sSub>
                  <m:r>
                    <m:rPr>
                      <m:sty m:val="p"/>
                    </m:rPr>
                    <m:t>/</m:t>
                  </m:r>
                  <m:r>
                    <m:t>RT</m:t>
                  </m:r>
                  <m:r>
                    <m:rPr>
                      <m:sty m:val="p"/>
                    </m:rPr>
                    <m:t>+ln</m:t>
                  </m:r>
                  <m:d>
                    <m:dPr>
                      <m:begChr m:val="["/>
                      <m:endChr m:val="]"/>
                      <m:sepChr m:val=""/>
                      <m:grow/>
                    </m:dPr>
                    <m:e>
                      <m:sSub>
                        <m:e>
                          <m:r>
                            <m:t>S</m:t>
                          </m:r>
                        </m:e>
                        <m:sub>
                          <m:r>
                            <m:t>l</m:t>
                          </m:r>
                        </m:sub>
                      </m:sSub>
                    </m:e>
                  </m:d>
                </m:e>
              </m:d>
            </m:den>
          </m:f>
        </m:oMath>
      </m:oMathPara>
    </w:p>
    <w:p>
      <w:pPr>
        <w:pStyle w:val="FirstParagraph"/>
      </w:pPr>
      <w:r>
        <w:t xml:space="preserve">Define the </w:t>
      </w:r>
      <w:r>
        <w:rPr>
          <w:bCs/>
          <w:b/>
        </w:rPr>
        <w:t xml:space="preserve">effective score</w:t>
      </w:r>
      <w:r>
        <w:t xml:space="preserve">:</w:t>
      </w:r>
    </w:p>
    <w:p>
      <w:pPr>
        <w:pStyle w:val="BodyText"/>
      </w:pPr>
      <m:oMathPara>
        <m:oMathParaPr>
          <m:jc m:val="center"/>
        </m:oMathParaPr>
        <m:oMath>
          <m:borderBox>
            <m:e>
              <m:sSubSup>
                <m:e>
                  <m:r>
                    <m:t>s</m:t>
                  </m:r>
                </m:e>
                <m:sub>
                  <m:r>
                    <m:t>j</m:t>
                  </m:r>
                </m:sub>
                <m:sup>
                  <m:r>
                    <m:rPr>
                      <m:nor/>
                      <m:sty m:val="p"/>
                    </m:rPr>
                    <m:t>eff</m:t>
                  </m:r>
                </m:sup>
              </m:sSubSup>
              <m:r>
                <m:rPr>
                  <m:sty m:val="p"/>
                </m:rPr>
                <m:t>=</m:t>
              </m:r>
              <m:f>
                <m:fPr>
                  <m:type m:val="bar"/>
                </m:fPr>
                <m:num>
                  <m:r>
                    <m:rPr>
                      <m:sty m:val="b"/>
                    </m:rPr>
                    <m:t>q</m:t>
                  </m:r>
                  <m:r>
                    <m:rPr>
                      <m:sty m:val="p"/>
                    </m:rPr>
                    <m:t>⋅</m:t>
                  </m:r>
                  <m:sSub>
                    <m:e>
                      <m:r>
                        <m:rPr>
                          <m:sty m:val="b"/>
                        </m:rPr>
                        <m:t>k</m:t>
                      </m:r>
                    </m:e>
                    <m:sub>
                      <m:r>
                        <m:t>j</m:t>
                      </m:r>
                    </m:sub>
                  </m:sSub>
                </m:num>
                <m:den>
                  <m:r>
                    <m:t>τ</m:t>
                  </m:r>
                </m:den>
              </m:f>
              <m:r>
                <m:rPr>
                  <m:sty m:val="p"/>
                </m:rPr>
                <m:t>+ln</m:t>
              </m:r>
              <m:d>
                <m:dPr>
                  <m:begChr m:val="["/>
                  <m:endChr m:val="]"/>
                  <m:sepChr m:val=""/>
                  <m:grow/>
                </m:dPr>
                <m:e>
                  <m:sSub>
                    <m:e>
                      <m:r>
                        <m:t>S</m:t>
                      </m:r>
                    </m:e>
                    <m:sub>
                      <m:r>
                        <m:t>j</m:t>
                      </m:r>
                    </m:sub>
                  </m:sSub>
                </m:e>
              </m:d>
            </m:e>
          </m:borderBox>
        </m:oMath>
      </m:oMathPara>
    </w:p>
    <w:p>
      <w:pPr>
        <w:pStyle w:val="FirstParagraph"/>
      </w:pPr>
      <w:r>
        <w:t xml:space="preserve">The concentration enters as an </w:t>
      </w:r>
      <w:r>
        <w:rPr>
          <w:bCs/>
          <w:b/>
        </w:rPr>
        <w:t xml:space="preserve">additive bias</w:t>
      </w:r>
      <w:r>
        <w:t xml:space="preserve"> in the attention logit. This is exact — a direct consequence of the Boltzmann distribution, not a modeling heuristic. Architecturally, it is a per-target additive bias added to the dot-product logits before the softmax, identical to how positional or masking biases are added in standard transformers. (Methods for Molecular Recognition Computing, Supplementary Note S2, derives this for the enzyme–substrate SFM.)</w:t>
      </w:r>
    </w:p>
    <w:p>
      <w:pPr>
        <w:pStyle w:val="BodyText"/>
      </w:pPr>
      <w:r>
        <w:rPr>
          <w:bCs/>
          <w:b/>
        </w:rPr>
        <w:t xml:space="preserve">Consequence.</w:t>
      </w:r>
      <w:r>
        <w:t xml:space="preserve"> Systems with strongly varying target concentrations (enzyme–substrate, drug–target at varying doses) require the </w:t>
      </w:r>
      <m:oMath>
        <m:r>
          <m:rPr>
            <m:sty m:val="p"/>
          </m:rPr>
          <m:t>ln</m:t>
        </m:r>
        <m:d>
          <m:dPr>
            <m:begChr m:val="["/>
            <m:endChr m:val="]"/>
            <m:sepChr m:val=""/>
            <m:grow/>
          </m:dPr>
          <m:e>
            <m:r>
              <m:t>S</m:t>
            </m:r>
          </m:e>
        </m:d>
      </m:oMath>
      <w:r>
        <w:t xml:space="preserve"> bias term; systems where the pool is effectively equimolar (retrieval over a curated candidate set) do not. The architecture accommodates both: the bias term is present or set to zero. Either way it is prescribed by the physics, not invented.</w:t>
      </w:r>
    </w:p>
    <w:p>
      <w:r>
        <w:pict>
          <v:rect style="width:0;height:1.5pt" o:hralign="center" o:hrstd="t" o:hr="t"/>
        </w:pict>
      </w:r>
    </w:p>
    <w:bookmarkEnd w:id="31"/>
    <w:bookmarkStart w:id="32" w:name="summary"/>
    <w:p>
      <w:pPr>
        <w:pStyle w:val="Heading2"/>
      </w:pPr>
      <w:r>
        <w:t xml:space="preserve">9. Summary</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Result</w:t>
            </w:r>
          </w:p>
        </w:tc>
        <w:tc>
          <w:tcPr/>
          <w:p>
            <w:pPr>
              <w:pStyle w:val="Compact"/>
              <w:jc w:val="left"/>
            </w:pPr>
            <w:r>
              <w:t xml:space="preserve">Significance</w:t>
            </w:r>
          </w:p>
        </w:tc>
      </w:tr>
      <w:tr>
        <w:tc>
          <w:tcPr/>
          <w:p>
            <w:pPr>
              <w:pStyle w:val="Compact"/>
              <w:jc w:val="left"/>
            </w:pPr>
            <w:r>
              <w:t xml:space="preserve">Score is a dot product</w:t>
            </w:r>
          </w:p>
        </w:tc>
        <w:tc>
          <w:tcPr/>
          <w:p>
            <w:pPr>
              <w:pStyle w:val="Compact"/>
              <w:jc w:val="left"/>
            </w:pPr>
            <m:oMath>
              <m:sSub>
                <m:e>
                  <m:r>
                    <m:t>s</m:t>
                  </m:r>
                </m:e>
                <m:sub>
                  <m:r>
                    <m:t>j</m:t>
                  </m:r>
                </m:sub>
              </m:sSub>
              <m:r>
                <m:rPr>
                  <m:sty m:val="p"/>
                </m:rPr>
                <m:t>=</m:t>
              </m:r>
              <m:r>
                <m:rPr>
                  <m:sty m:val="b"/>
                </m:rPr>
                <m:t>q</m:t>
              </m:r>
              <m:r>
                <m:rPr>
                  <m:sty m:val="p"/>
                </m:rPr>
                <m:t>⋅</m:t>
              </m:r>
              <m:sSub>
                <m:e>
                  <m:r>
                    <m:rPr>
                      <m:sty m:val="b"/>
                    </m:rPr>
                    <m:t>k</m:t>
                  </m:r>
                </m:e>
                <m:sub>
                  <m:r>
                    <m:t>j</m:t>
                  </m:r>
                </m:sub>
              </m:sSub>
            </m:oMath>
          </w:p>
        </w:tc>
        <w:tc>
          <w:tcPr/>
          <w:p>
            <w:pPr>
              <w:pStyle w:val="Compact"/>
              <w:jc w:val="left"/>
            </w:pPr>
            <w:r>
              <w:t xml:space="preserve">Given (raw) or emergent (learned)</w:t>
            </w:r>
          </w:p>
        </w:tc>
      </w:tr>
      <w:tr>
        <w:tc>
          <w:tcPr/>
          <w:p>
            <w:pPr>
              <w:pStyle w:val="Compact"/>
              <w:jc w:val="left"/>
            </w:pPr>
            <w:r>
              <w:t xml:space="preserve">Substitution</w:t>
            </w:r>
          </w:p>
        </w:tc>
        <w:tc>
          <w:tcPr/>
          <w:p>
            <w:pPr>
              <w:pStyle w:val="Compact"/>
              <w:jc w:val="left"/>
            </w:pPr>
            <m:oMath>
              <m:r>
                <m:t>P</m:t>
              </m:r>
              <m:d>
                <m:dPr>
                  <m:begChr m:val="("/>
                  <m:endChr m:val=")"/>
                  <m:sepChr m:val=""/>
                  <m:grow/>
                </m:dPr>
                <m:e>
                  <m:r>
                    <m:t>j</m:t>
                  </m:r>
                </m:e>
              </m:d>
              <m:r>
                <m:rPr>
                  <m:sty m:val="p"/>
                </m:rPr>
                <m:t>=exp</m:t>
              </m:r>
              <m:d>
                <m:dPr>
                  <m:begChr m:val="("/>
                  <m:endChr m:val=")"/>
                  <m:sepChr m:val=""/>
                  <m:grow/>
                </m:dPr>
                <m:e>
                  <m:r>
                    <m:rPr>
                      <m:sty m:val="b"/>
                    </m:rPr>
                    <m:t>q</m:t>
                  </m:r>
                  <m:r>
                    <m:rPr>
                      <m:sty m:val="p"/>
                    </m:rPr>
                    <m:t>⋅</m:t>
                  </m:r>
                  <m:sSub>
                    <m:e>
                      <m:r>
                        <m:rPr>
                          <m:sty m:val="b"/>
                        </m:rPr>
                        <m:t>k</m:t>
                      </m:r>
                    </m:e>
                    <m:sub>
                      <m:r>
                        <m:t>j</m:t>
                      </m:r>
                    </m:sub>
                  </m:sSub>
                  <m:r>
                    <m:rPr>
                      <m:sty m:val="p"/>
                    </m:rPr>
                    <m:t>/</m:t>
                  </m:r>
                  <m:r>
                    <m:t>τ</m:t>
                  </m:r>
                </m:e>
              </m:d>
              <m:r>
                <m:rPr>
                  <m:sty m:val="p"/>
                </m:rPr>
                <m:t>/</m:t>
              </m:r>
              <m:r>
                <m:t>Z</m:t>
              </m:r>
            </m:oMath>
          </w:p>
        </w:tc>
        <w:tc>
          <w:tcPr/>
          <w:p>
            <w:pPr>
              <w:pStyle w:val="Compact"/>
              <w:jc w:val="left"/>
            </w:pPr>
            <w:r>
              <w:t xml:space="preserve">Convergence equation = attention</w:t>
            </w:r>
          </w:p>
        </w:tc>
      </w:tr>
      <w:tr>
        <w:tc>
          <w:tcPr/>
          <w:p>
            <w:pPr>
              <w:pStyle w:val="Compact"/>
              <w:jc w:val="left"/>
            </w:pPr>
            <w:r>
              <w:t xml:space="preserve">PWM example</w:t>
            </w:r>
          </w:p>
        </w:tc>
        <w:tc>
          <w:tcPr/>
          <w:p>
            <w:pPr>
              <w:pStyle w:val="Compact"/>
              <w:jc w:val="left"/>
            </w:pPr>
            <w:r>
              <w:t xml:space="preserve">consensus ACGGCA </w:t>
            </w:r>
            <m:oMath>
              <m:r>
                <m:rPr>
                  <m:sty m:val="p"/>
                </m:rPr>
                <m:t>→</m:t>
              </m:r>
            </m:oMath>
            <w:r>
              <w:t xml:space="preserve"> score </w:t>
            </w:r>
            <m:oMath>
              <m:r>
                <m:rPr>
                  <m:sty m:val="p"/>
                </m:rPr>
                <m:t>=</m:t>
              </m:r>
              <m:r>
                <m:t>18</m:t>
              </m:r>
            </m:oMath>
          </w:p>
        </w:tc>
        <w:tc>
          <w:tcPr/>
          <w:p>
            <w:pPr>
              <w:pStyle w:val="Compact"/>
              <w:jc w:val="left"/>
            </w:pPr>
            <w:r>
              <w:t xml:space="preserve">PWM lookup-and-sum IS a dot product</w:t>
            </w:r>
          </w:p>
        </w:tc>
      </w:tr>
      <w:tr>
        <w:tc>
          <w:tcPr/>
          <w:p>
            <w:pPr>
              <w:pStyle w:val="Compact"/>
              <w:jc w:val="left"/>
            </w:pPr>
            <w:r>
              <w:t xml:space="preserve">Architecture</w:t>
            </w:r>
          </w:p>
        </w:tc>
        <w:tc>
          <w:tcPr/>
          <w:p>
            <w:pPr>
              <w:pStyle w:val="Compact"/>
              <w:jc w:val="left"/>
            </w:pPr>
            <w:r>
              <w:t xml:space="preserve">dual encoders + cross-attention + softmax</w:t>
            </w:r>
          </w:p>
        </w:tc>
        <w:tc>
          <w:tcPr/>
          <w:p>
            <w:pPr>
              <w:pStyle w:val="Compact"/>
              <w:jc w:val="left"/>
            </w:pPr>
            <w:r>
              <w:t xml:space="preserve">Prescribed, not designed</w:t>
            </w:r>
          </w:p>
        </w:tc>
      </w:tr>
      <w:tr>
        <w:tc>
          <w:tcPr/>
          <w:p>
            <w:pPr>
              <w:pStyle w:val="Compact"/>
              <w:jc w:val="left"/>
            </w:pPr>
            <w:r>
              <w:t xml:space="preserve">Given vs. emergent</w:t>
            </w:r>
          </w:p>
        </w:tc>
        <w:tc>
          <w:tcPr/>
          <w:p>
            <w:pPr>
              <w:pStyle w:val="Compact"/>
              <w:jc w:val="left"/>
            </w:pPr>
            <w:r>
              <w:t xml:space="preserve">same architecture, different encoder fill</w:t>
            </w:r>
          </w:p>
        </w:tc>
        <w:tc>
          <w:tcPr/>
          <w:p>
            <w:pPr>
              <w:pStyle w:val="Compact"/>
              <w:jc w:val="left"/>
            </w:pPr>
            <w:r>
              <w:t xml:space="preserve">One code, all domains</w:t>
            </w:r>
          </w:p>
        </w:tc>
      </w:tr>
      <w:tr>
        <w:tc>
          <w:tcPr/>
          <w:p>
            <w:pPr>
              <w:pStyle w:val="Compact"/>
              <w:jc w:val="left"/>
            </w:pPr>
            <w:r>
              <w:t xml:space="preserve">Multi-head</w:t>
            </w:r>
          </w:p>
        </w:tc>
        <w:tc>
          <w:tcPr/>
          <w:p>
            <w:pPr>
              <w:pStyle w:val="Compact"/>
              <w:jc w:val="left"/>
            </w:pPr>
            <m:oMath>
              <m:r>
                <m:t>H</m:t>
              </m:r>
            </m:oMath>
            <w:r>
              <w:t xml:space="preserve"> heads = </w:t>
            </w:r>
            <m:oMath>
              <m:r>
                <m:t>H</m:t>
              </m:r>
            </m:oMath>
            <w:r>
              <w:t xml:space="preserve"> contact regions</w:t>
            </w:r>
          </w:p>
        </w:tc>
        <w:tc>
          <w:tcPr/>
          <w:p>
            <w:pPr>
              <w:pStyle w:val="Compact"/>
              <w:jc w:val="left"/>
            </w:pPr>
            <w:r>
              <w:t xml:space="preserve">CDR loops are attention heads</w:t>
            </w:r>
          </w:p>
        </w:tc>
      </w:tr>
      <w:tr>
        <w:tc>
          <w:tcPr/>
          <w:p>
            <w:pPr>
              <w:pStyle w:val="Compact"/>
              <w:jc w:val="left"/>
            </w:pPr>
            <w:r>
              <w:t xml:space="preserve">Concentration</w:t>
            </w:r>
          </w:p>
        </w:tc>
        <w:tc>
          <w:tcPr/>
          <w:p>
            <w:pPr>
              <w:pStyle w:val="Compact"/>
              <w:jc w:val="left"/>
            </w:pPr>
            <m:oMath>
              <m:sSubSup>
                <m:e>
                  <m:r>
                    <m:t>s</m:t>
                  </m:r>
                </m:e>
                <m:sub>
                  <m:r>
                    <m:t>j</m:t>
                  </m:r>
                </m:sub>
                <m:sup>
                  <m:r>
                    <m:rPr>
                      <m:nor/>
                      <m:sty m:val="p"/>
                    </m:rPr>
                    <m:t>eff</m:t>
                  </m:r>
                </m:sup>
              </m:sSubSup>
              <m:r>
                <m:rPr>
                  <m:sty m:val="p"/>
                </m:rPr>
                <m:t>=</m:t>
              </m:r>
              <m:r>
                <m:rPr>
                  <m:sty m:val="b"/>
                </m:rPr>
                <m:t>q</m:t>
              </m:r>
              <m:r>
                <m:rPr>
                  <m:sty m:val="p"/>
                </m:rPr>
                <m:t>⋅</m:t>
              </m:r>
              <m:sSub>
                <m:e>
                  <m:r>
                    <m:rPr>
                      <m:sty m:val="b"/>
                    </m:rPr>
                    <m:t>k</m:t>
                  </m:r>
                </m:e>
                <m:sub>
                  <m:r>
                    <m:t>j</m:t>
                  </m:r>
                </m:sub>
              </m:sSub>
              <m:r>
                <m:rPr>
                  <m:sty m:val="p"/>
                </m:rPr>
                <m:t>/</m:t>
              </m:r>
              <m:r>
                <m:t>τ</m:t>
              </m:r>
              <m:r>
                <m:rPr>
                  <m:sty m:val="p"/>
                </m:rPr>
                <m:t>+ln</m:t>
              </m:r>
              <m:d>
                <m:dPr>
                  <m:begChr m:val="["/>
                  <m:endChr m:val="]"/>
                  <m:sepChr m:val=""/>
                  <m:grow/>
                </m:dPr>
                <m:e>
                  <m:sSub>
                    <m:e>
                      <m:r>
                        <m:t>S</m:t>
                      </m:r>
                    </m:e>
                    <m:sub>
                      <m:r>
                        <m:t>j</m:t>
                      </m:r>
                    </m:sub>
                  </m:sSub>
                </m:e>
              </m:d>
            </m:oMath>
          </w:p>
        </w:tc>
        <w:tc>
          <w:tcPr/>
          <w:p>
            <w:pPr>
              <w:pStyle w:val="Compact"/>
              <w:jc w:val="left"/>
            </w:pPr>
            <w:r>
              <w:t xml:space="preserve">Exact additive bias from Boltzmann</w:t>
            </w:r>
          </w:p>
        </w:tc>
      </w:tr>
    </w:tbl>
    <w:p>
      <w:r>
        <w:pict>
          <v:rect style="width:0;height:1.5pt" o:hralign="center" o:hrstd="t" o:hr="t"/>
        </w:pict>
      </w:r>
    </w:p>
    <w:bookmarkEnd w:id="32"/>
    <w:bookmarkStart w:id="33" w:name="checkpoint-questions"/>
    <w:p>
      <w:pPr>
        <w:pStyle w:val="Heading2"/>
      </w:pPr>
      <w:r>
        <w:t xml:space="preserve">10. Checkpoint Questions</w:t>
      </w:r>
    </w:p>
    <w:p>
      <w:pPr>
        <w:pStyle w:val="FirstParagraph"/>
      </w:pPr>
      <w:r>
        <w:rPr>
          <w:bCs/>
          <w:b/>
        </w:rPr>
        <w:t xml:space="preserve">Q1.</w:t>
      </w:r>
      <w:r>
        <w:t xml:space="preserve"> Using the PWM in §4, score the site ACGGCC (consensus with the last base changed from A to C). By how much does the score drop, and what does this say about position 6’s specificity?</w:t>
      </w:r>
    </w:p>
    <w:p>
      <w:pPr>
        <w:pStyle w:val="BodyText"/>
      </w:pPr>
      <w:r>
        <w:rPr>
          <w:iCs/>
          <w:i/>
        </w:rPr>
        <w:t xml:space="preserve">Answer:</w:t>
      </w:r>
      <w:r>
        <w:t xml:space="preserve"> The only change is position 6: A scores </w:t>
      </w:r>
      <m:oMath>
        <m:sSub>
          <m:e>
            <m:r>
              <m:t>W</m:t>
            </m:r>
          </m:e>
          <m:sub>
            <m:r>
              <m:t>6</m:t>
            </m:r>
            <m:r>
              <m:rPr>
                <m:sty m:val="p"/>
              </m:rPr>
              <m:t>,</m:t>
            </m:r>
            <m:r>
              <m:t>A</m:t>
            </m:r>
          </m:sub>
        </m:sSub>
        <m:r>
          <m:rPr>
            <m:sty m:val="p"/>
          </m:rPr>
          <m:t>=</m:t>
        </m:r>
        <m:r>
          <m:t>3</m:t>
        </m:r>
      </m:oMath>
      <w:r>
        <w:t xml:space="preserve">, C scores </w:t>
      </w:r>
      <m:oMath>
        <m:sSub>
          <m:e>
            <m:r>
              <m:t>W</m:t>
            </m:r>
          </m:e>
          <m:sub>
            <m:r>
              <m:t>6</m:t>
            </m:r>
            <m:r>
              <m:rPr>
                <m:sty m:val="p"/>
              </m:rPr>
              <m:t>,</m:t>
            </m:r>
            <m:r>
              <m:t>C</m:t>
            </m:r>
          </m:sub>
        </m:sSub>
        <m:r>
          <m:rPr>
            <m:sty m:val="p"/>
          </m:rPr>
          <m:t>=−</m:t>
        </m:r>
        <m:r>
          <m:t>1</m:t>
        </m:r>
      </m:oMath>
      <w:r>
        <w:t xml:space="preserve">. New score </w:t>
      </w:r>
      <m:oMath>
        <m:r>
          <m:t>S</m:t>
        </m:r>
        <m:r>
          <m:rPr>
            <m:sty m:val="p"/>
          </m:rPr>
          <m:t>=</m:t>
        </m:r>
        <m:r>
          <m:t>18</m:t>
        </m:r>
        <m:r>
          <m:rPr>
            <m:sty m:val="p"/>
          </m:rPr>
          <m:t>−</m:t>
        </m:r>
        <m:r>
          <m:t>3</m:t>
        </m:r>
        <m:r>
          <m:rPr>
            <m:sty m:val="p"/>
          </m:rPr>
          <m:t>+</m:t>
        </m:r>
        <m:d>
          <m:dPr>
            <m:begChr m:val="("/>
            <m:endChr m:val=")"/>
            <m:sepChr m:val=""/>
            <m:grow/>
          </m:dPr>
          <m:e>
            <m:r>
              <m:rPr>
                <m:sty m:val="p"/>
              </m:rPr>
              <m:t>−</m:t>
            </m:r>
            <m:r>
              <m:t>1</m:t>
            </m:r>
          </m:e>
        </m:d>
        <m:r>
          <m:rPr>
            <m:sty m:val="p"/>
          </m:rPr>
          <m:t>=</m:t>
        </m:r>
        <m:r>
          <m:t>14</m:t>
        </m:r>
      </m:oMath>
      <w:r>
        <w:t xml:space="preserve">. A drop of 4. Position 6 strongly prefers A (the gap between A at </w:t>
      </w:r>
      <m:oMath>
        <m:r>
          <m:rPr>
            <m:sty m:val="p"/>
          </m:rPr>
          <m:t>+</m:t>
        </m:r>
        <m:r>
          <m:t>3</m:t>
        </m:r>
      </m:oMath>
      <w:r>
        <w:t xml:space="preserve"> and C at </w:t>
      </w:r>
      <m:oMath>
        <m:r>
          <m:rPr>
            <m:sty m:val="p"/>
          </m:rPr>
          <m:t>−</m:t>
        </m:r>
        <m:r>
          <m:t>1</m:t>
        </m:r>
      </m:oMath>
      <w:r>
        <w:t xml:space="preserve"> is the maximum 4-point swing in that column), so it is a high-specificity “anchor” position. Feeding 18 vs. 14 into the convergence equation with </w:t>
      </w:r>
      <m:oMath>
        <m:r>
          <m:t>τ</m:t>
        </m:r>
        <m:r>
          <m:rPr>
            <m:sty m:val="p"/>
          </m:rPr>
          <m:t>=</m:t>
        </m:r>
        <m:r>
          <m:t>1</m:t>
        </m:r>
      </m:oMath>
      <w:r>
        <w:t xml:space="preserve">, the consensus is </w:t>
      </w:r>
      <m:oMath>
        <m:r>
          <m:rPr>
            <m:sty m:val="p"/>
          </m:rPr>
          <m:t>exp</m:t>
        </m:r>
        <m:d>
          <m:dPr>
            <m:begChr m:val="("/>
            <m:endChr m:val=")"/>
            <m:sepChr m:val=""/>
            <m:grow/>
          </m:dPr>
          <m:e>
            <m:r>
              <m:t>4</m:t>
            </m:r>
          </m:e>
        </m:d>
        <m:r>
          <m:rPr>
            <m:sty m:val="p"/>
          </m:rPr>
          <m:t>≈</m:t>
        </m:r>
        <m:r>
          <m:t>55</m:t>
        </m:r>
      </m:oMath>
      <w:r>
        <w:t xml:space="preserve"> times more probable than this single-mutant — a steep penalty for disrupting an anchor position.</w:t>
      </w:r>
    </w:p>
    <w:p>
      <w:pPr>
        <w:pStyle w:val="BodyText"/>
      </w:pPr>
      <w:r>
        <w:rPr>
          <w:bCs/>
          <w:b/>
        </w:rPr>
        <w:t xml:space="preserve">Q2.</w:t>
      </w:r>
      <w:r>
        <w:t xml:space="preserve"> An enzyme has two substrates with equal intrinsic compatibility (</w:t>
      </w:r>
      <m:oMath>
        <m:r>
          <m:rPr>
            <m:sty m:val="b"/>
          </m:rPr>
          <m:t>q</m:t>
        </m:r>
        <m:r>
          <m:rPr>
            <m:sty m:val="p"/>
          </m:rPr>
          <m:t>⋅</m:t>
        </m:r>
        <m:sSub>
          <m:e>
            <m:r>
              <m:rPr>
                <m:sty m:val="b"/>
              </m:rPr>
              <m:t>k</m:t>
            </m:r>
          </m:e>
          <m:sub>
            <m:r>
              <m:t>1</m:t>
            </m:r>
          </m:sub>
        </m:sSub>
        <m:r>
          <m:rPr>
            <m:sty m:val="p"/>
          </m:rPr>
          <m:t>=</m:t>
        </m:r>
        <m:r>
          <m:rPr>
            <m:sty m:val="b"/>
          </m:rPr>
          <m:t>q</m:t>
        </m:r>
        <m:r>
          <m:rPr>
            <m:sty m:val="p"/>
          </m:rPr>
          <m:t>⋅</m:t>
        </m:r>
        <m:sSub>
          <m:e>
            <m:r>
              <m:rPr>
                <m:sty m:val="b"/>
              </m:rPr>
              <m:t>k</m:t>
            </m:r>
          </m:e>
          <m:sub>
            <m:r>
              <m:t>2</m:t>
            </m:r>
          </m:sub>
        </m:sSub>
      </m:oMath>
      <w:r>
        <w:t xml:space="preserve">) but substrate 1 is present at 100× the concentration of substrate 2. With </w:t>
      </w:r>
      <m:oMath>
        <m:r>
          <m:t>τ</m:t>
        </m:r>
        <m:r>
          <m:rPr>
            <m:sty m:val="p"/>
          </m:rPr>
          <m:t>=</m:t>
        </m:r>
        <m:r>
          <m:t>1</m:t>
        </m:r>
      </m:oMath>
      <w:r>
        <w:t xml:space="preserve">, what is the ratio of binding probabilities?</w:t>
      </w:r>
    </w:p>
    <w:p>
      <w:pPr>
        <w:pStyle w:val="BodyText"/>
      </w:pPr>
      <w:r>
        <w:rPr>
          <w:iCs/>
          <w:i/>
        </w:rPr>
        <w:t xml:space="preserve">Answer:</w:t>
      </w:r>
      <w:r>
        <w:t xml:space="preserve"> The effective scores differ only by the concentration bias: </w:t>
      </w:r>
      <m:oMath>
        <m:sSubSup>
          <m:e>
            <m:r>
              <m:t>s</m:t>
            </m:r>
          </m:e>
          <m:sub>
            <m:r>
              <m:t>1</m:t>
            </m:r>
          </m:sub>
          <m:sup>
            <m:r>
              <m:rPr>
                <m:nor/>
                <m:sty m:val="p"/>
              </m:rPr>
              <m:t>eff</m:t>
            </m:r>
          </m:sup>
        </m:sSubSup>
        <m:r>
          <m:rPr>
            <m:sty m:val="p"/>
          </m:rPr>
          <m:t>−</m:t>
        </m:r>
        <m:sSubSup>
          <m:e>
            <m:r>
              <m:t>s</m:t>
            </m:r>
          </m:e>
          <m:sub>
            <m:r>
              <m:t>2</m:t>
            </m:r>
          </m:sub>
          <m:sup>
            <m:r>
              <m:rPr>
                <m:nor/>
                <m:sty m:val="p"/>
              </m:rPr>
              <m:t>eff</m:t>
            </m:r>
          </m:sup>
        </m:sSubSup>
        <m:r>
          <m:rPr>
            <m:sty m:val="p"/>
          </m:rPr>
          <m:t>=ln</m:t>
        </m:r>
        <m:d>
          <m:dPr>
            <m:begChr m:val="["/>
            <m:endChr m:val="]"/>
            <m:sepChr m:val=""/>
            <m:grow/>
          </m:dPr>
          <m:e>
            <m:sSub>
              <m:e>
                <m:r>
                  <m:t>S</m:t>
                </m:r>
              </m:e>
              <m:sub>
                <m:r>
                  <m:t>1</m:t>
                </m:r>
              </m:sub>
            </m:sSub>
          </m:e>
        </m:d>
        <m:r>
          <m:rPr>
            <m:sty m:val="p"/>
          </m:rPr>
          <m:t>−ln</m:t>
        </m:r>
        <m:d>
          <m:dPr>
            <m:begChr m:val="["/>
            <m:endChr m:val="]"/>
            <m:sepChr m:val=""/>
            <m:grow/>
          </m:dPr>
          <m:e>
            <m:sSub>
              <m:e>
                <m:r>
                  <m:t>S</m:t>
                </m:r>
              </m:e>
              <m:sub>
                <m:r>
                  <m:t>2</m:t>
                </m:r>
              </m:sub>
            </m:sSub>
          </m:e>
        </m:d>
        <m:r>
          <m:rPr>
            <m:sty m:val="p"/>
          </m:rPr>
          <m:t>=ln</m:t>
        </m:r>
        <m:d>
          <m:dPr>
            <m:begChr m:val="("/>
            <m:endChr m:val=")"/>
            <m:sepChr m:val=""/>
            <m:grow/>
          </m:dPr>
          <m:e>
            <m:r>
              <m:t>100</m:t>
            </m:r>
          </m:e>
        </m:d>
        <m:r>
          <m:rPr>
            <m:sty m:val="p"/>
          </m:rPr>
          <m:t>=</m:t>
        </m:r>
        <m:r>
          <m:t>4.605</m:t>
        </m:r>
      </m:oMath>
      <w:r>
        <w:t xml:space="preserve">. The probability ratio is </w:t>
      </w:r>
      <m:oMath>
        <m:sSub>
          <m:e>
            <m:r>
              <m:t>P</m:t>
            </m:r>
          </m:e>
          <m:sub>
            <m:r>
              <m:t>1</m:t>
            </m:r>
          </m:sub>
        </m:sSub>
        <m:r>
          <m:rPr>
            <m:sty m:val="p"/>
          </m:rPr>
          <m:t>/</m:t>
        </m:r>
        <m:sSub>
          <m:e>
            <m:r>
              <m:t>P</m:t>
            </m:r>
          </m:e>
          <m:sub>
            <m:r>
              <m:t>2</m:t>
            </m:r>
          </m:sub>
        </m:sSub>
        <m:r>
          <m:rPr>
            <m:sty m:val="p"/>
          </m:rPr>
          <m:t>=exp</m:t>
        </m:r>
        <m:d>
          <m:dPr>
            <m:begChr m:val="("/>
            <m:endChr m:val=")"/>
            <m:sepChr m:val=""/>
            <m:grow/>
          </m:dPr>
          <m:e>
            <m:r>
              <m:t>4.605</m:t>
            </m:r>
          </m:e>
        </m:d>
        <m:r>
          <m:rPr>
            <m:sty m:val="p"/>
          </m:rPr>
          <m:t>=</m:t>
        </m:r>
        <m:r>
          <m:t>100</m:t>
        </m:r>
      </m:oMath>
      <w:r>
        <w:t xml:space="preserve">. The enzyme binds substrate 1 100× more often — entirely due to concentration, exactly tracking the abundance ratio. This is the expected mass-action result, recovered exactly from the Boltzmann form because the concentration term enters as </w:t>
      </w:r>
      <m:oMath>
        <m:r>
          <m:rPr>
            <m:sty m:val="p"/>
          </m:rPr>
          <m:t>ln</m:t>
        </m:r>
        <m:d>
          <m:dPr>
            <m:begChr m:val="["/>
            <m:endChr m:val="]"/>
            <m:sepChr m:val=""/>
            <m:grow/>
          </m:dPr>
          <m:e>
            <m:r>
              <m:t>S</m:t>
            </m:r>
          </m:e>
        </m:d>
      </m:oMath>
      <w:r>
        <w:t xml:space="preserve"> in the logit.</w:t>
      </w:r>
    </w:p>
    <w:p>
      <w:pPr>
        <w:pStyle w:val="BodyText"/>
      </w:pPr>
      <w:r>
        <w:rPr>
          <w:bCs/>
          <w:b/>
        </w:rPr>
        <w:t xml:space="preserve">Q3.</w:t>
      </w:r>
      <w:r>
        <w:t xml:space="preserve"> Why must antibody–antigen binding use multi-head attention, while a simple single-position recognition (one nucleotide contact) could in principle use a single head?</w:t>
      </w:r>
    </w:p>
    <w:p>
      <w:pPr>
        <w:pStyle w:val="BodyText"/>
      </w:pPr>
      <w:r>
        <w:rPr>
          <w:iCs/>
          <w:i/>
        </w:rPr>
        <w:t xml:space="preserve">Answer:</w:t>
      </w:r>
      <w:r>
        <w:t xml:space="preserve"> A single attention head computes one scalar dot product — one compatibility channel between a single agent representation and a single target representation. Antibody–antigen binding involves a 3D interface with ~15–25 residue contacts distributed across six CDR loops, where different loops contact different epitope regions and the total energy is a sum over these spatially distinct channels. A single dot product cannot represent multiple independent contact channels; multi-head attention provides one channel per head, matching the CDR-loop structure. A single-nucleotide contact has only one channel and could be captured by one head (though in practice even nucleic acid systems use multiple heads to capture context). The number of heads needed scales with the number of independent contact regions.</w:t>
      </w:r>
    </w:p>
    <w:p>
      <w:pPr>
        <w:pStyle w:val="BodyText"/>
      </w:pPr>
      <w:r>
        <w:rPr>
          <w:bCs/>
          <w:b/>
        </w:rPr>
        <w:t xml:space="preserve">Q4.</w:t>
      </w:r>
      <w:r>
        <w:t xml:space="preserve"> A student says: “If the architecture is fully prescribed, then building an SFM is trivial — just plug in the equation.” What is wrong with this, and what is actually left to do?</w:t>
      </w:r>
    </w:p>
    <w:p>
      <w:pPr>
        <w:pStyle w:val="BodyText"/>
      </w:pPr>
      <w:r>
        <w:rPr>
          <w:iCs/>
          <w:i/>
        </w:rPr>
        <w:t xml:space="preserve">Answer:</w:t>
      </w:r>
      <w:r>
        <w:t xml:space="preserve"> What is prescribed is the </w:t>
      </w:r>
      <w:r>
        <w:rPr>
          <w:iCs/>
          <w:i/>
        </w:rPr>
        <w:t xml:space="preserve">skeleton</w:t>
      </w:r>
      <w:r>
        <w:t xml:space="preserve">: dual encoders, dot-product cross-attention, softmax, optional concentration bias. What is </w:t>
      </w:r>
      <w:r>
        <w:rPr>
          <w:iCs/>
          <w:i/>
        </w:rPr>
        <w:t xml:space="preserve">not</w:t>
      </w:r>
      <w:r>
        <w:t xml:space="preserve"> prescribed — and what determines whether the SFM works — is everything that fills the skeleton: which pretrained encoders to use for each molecule type, how to curate and clean the training pairs, how to design hard negatives (the decisive choice, per WB3 and Lecture 9), how to split data to prevent leakage, and how to evaluate. These are domain-expert decisions, not architectural ones. The prescription removes the architecture-design debate; it does not remove the scientific work of building a good model. That is precisely why the course spends Lectures 8–9 on the build process and the final project on doing it.</w:t>
      </w:r>
    </w:p>
    <w:p>
      <w:r>
        <w:pict>
          <v:rect style="width:0;height:1.5pt" o:hralign="center" o:hrstd="t" o:hr="t"/>
        </w:pict>
      </w:r>
    </w:p>
    <w:bookmarkEnd w:id="33"/>
    <w:bookmarkStart w:id="34" w:name="connection-to-future-lectures"/>
    <w:p>
      <w:pPr>
        <w:pStyle w:val="Heading2"/>
      </w:pPr>
      <w:r>
        <w:t xml:space="preserve">11. Connection to Future Lectures</w:t>
      </w:r>
    </w:p>
    <w:p>
      <w:pPr>
        <w:numPr>
          <w:ilvl w:val="0"/>
          <w:numId w:val="1003"/>
        </w:numPr>
        <w:pStyle w:val="Compact"/>
      </w:pPr>
      <w:r>
        <w:rPr>
          <w:bCs/>
          <w:b/>
        </w:rPr>
        <w:t xml:space="preserve">Lecture 6 WB3:</w:t>
      </w:r>
      <w:r>
        <w:t xml:space="preserve"> With the architecture in hand, the training objective is derived. InfoNCE is the maximum-likelihood estimator of the convergence equation; the symmetric form follows from binding reciprocity.</w:t>
      </w:r>
    </w:p>
    <w:p>
      <w:pPr>
        <w:numPr>
          <w:ilvl w:val="0"/>
          <w:numId w:val="1003"/>
        </w:numPr>
        <w:pStyle w:val="Compact"/>
      </w:pPr>
      <w:r>
        <w:rPr>
          <w:bCs/>
          <w:b/>
        </w:rPr>
        <w:t xml:space="preserve">Lecture 7:</w:t>
      </w:r>
      <w:r>
        <w:t xml:space="preserve"> The five architecture conditions formalize the assembly shown here. The “prescribed vs. domain-specific” table separates the forced skeleton (this guide) from the free choices (encoders, data, hard negatives). Level 3 alignment is defined.</w:t>
      </w:r>
    </w:p>
    <w:p>
      <w:pPr>
        <w:numPr>
          <w:ilvl w:val="0"/>
          <w:numId w:val="1003"/>
        </w:numPr>
        <w:pStyle w:val="Compact"/>
      </w:pPr>
      <w:r>
        <w:rPr>
          <w:bCs/>
          <w:b/>
        </w:rPr>
        <w:t xml:space="preserve">Lecture 8:</w:t>
      </w:r>
      <w:r>
        <w:t xml:space="preserve"> The given/emergent table (§6) is developed across all ten domains, with the six prototyped SFMs showing the identical architecture trained on different molecular systems.</w:t>
      </w:r>
    </w:p>
    <w:p>
      <w:pPr>
        <w:numPr>
          <w:ilvl w:val="0"/>
          <w:numId w:val="1003"/>
        </w:numPr>
        <w:pStyle w:val="Compact"/>
      </w:pPr>
      <w:r>
        <w:rPr>
          <w:bCs/>
          <w:b/>
        </w:rPr>
        <w:t xml:space="preserve">Lecture 9 (build):</w:t>
      </w:r>
      <w:r>
        <w:t xml:space="preserve"> Students implement exactly this architecture using Claude Code with the CALM reference. The concentration bias (§8) is relevant for enzyme/drug–target projects; the multi-head structure (§7) is relevant for all protein-interface projects.</w:t>
      </w:r>
    </w:p>
    <w:bookmarkEnd w:id="34"/>
    <w:bookmarkEnd w:id="35"/>
    <w:sectPr>
      <w:headerReference r:id="rId9" w:type="default"/>
      <w:footerReference r:id="rId10" w:type="default"/>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pPr>
    <w:r>
      <w:rPr>
        <w:rFonts w:ascii="Times New Roman" w:cs="Times New Roman" w:eastAsia="Times New Roman" w:hAnsi="Times New Roman"/>
        <w:i/>
        <w:iCs/>
        <w:sz w:val="18"/>
        <w:szCs w:val="18"/>
      </w:rPr>
      <w:t xml:space="preserve">MRC Lecture 6 — Derivation Guide 2: From One Equation to an Architecture</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20" w:before="360"/>
      <w:outlineLvl w:val="0"/>
    </w:pPr>
    <w:rPr>
      <w:rFonts w:ascii="Times New Roman" w:cs="Times New Roman" w:eastAsia="Times New Roman" w:hAnsi="Times New Roman"/>
      <w:b/>
      <w:bCs/>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sz w:val="24"/>
      <w:szCs w:val="24"/>
    </w:rPr>
  </w:style>
  <w:style w:styleId="Heading3" w:type="paragraph">
    <w:name w:val="Heading 3"/>
    <w:basedOn w:val="Normal"/>
    <w:next w:val="Normal"/>
    <w:qFormat/>
    <w:pPr>
      <w:spacing w:after="100" w:before="200"/>
      <w:outlineLvl w:val="2"/>
    </w:pPr>
    <w:rPr>
      <w:rFonts w:ascii="Times New Roman" w:cs="Times New Roman" w:eastAsia="Times New Roman" w:hAnsi="Times New Roman"/>
      <w:b/>
      <w:bCs/>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arget="header1.xml" Type="http://schemas.openxmlformats.org/officeDocument/2006/relationships/header"/><Relationship Id="rId10" Target="footer1.xml" Type="http://schemas.openxmlformats.org/officeDocument/2006/relationships/footer"/></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2026-06-16T12:01:33Z</dcterms:created>
  <dcterms:modified xsi:type="dcterms:W3CDTF">2026-06-16T12:01:33Z</dcterms:modified>
</cp:coreProperties>
</file>

<file path=docProps/custom.xml><?xml version="1.0" encoding="utf-8"?>
<Properties xmlns="http://schemas.openxmlformats.org/officeDocument/2006/custom-properties" xmlns:vt="http://schemas.openxmlformats.org/officeDocument/2006/docPropsVTypes"/>
</file>