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77E726E1" w14:textId="6BCC9E63" w:rsidR="00D34E77" w:rsidRPr="00D57ED5"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 xml:space="preserve">postpartum and as the child grew. </w:t>
      </w:r>
    </w:p>
    <w:p w14:paraId="23E51EA6" w14:textId="77777777" w:rsidR="00E52FCB" w:rsidRPr="00D57ED5" w:rsidRDefault="00E52FCB" w:rsidP="00184312">
      <w:pPr>
        <w:spacing w:line="360" w:lineRule="auto"/>
        <w:rPr>
          <w:rFonts w:asciiTheme="minorHAnsi" w:hAnsiTheme="minorHAnsi" w:cstheme="minorHAnsi"/>
        </w:rPr>
      </w:pPr>
    </w:p>
    <w:p w14:paraId="73203F07" w14:textId="5ADD7825" w:rsidR="00F51505" w:rsidRDefault="00210AE8" w:rsidP="00184312">
      <w:pPr>
        <w:spacing w:line="360" w:lineRule="auto"/>
        <w:rPr>
          <w:rFonts w:asciiTheme="minorHAnsi" w:hAnsiTheme="minorHAnsi" w:cstheme="minorHAnsi"/>
          <w:b/>
        </w:rPr>
      </w:pPr>
      <w:r w:rsidRPr="00D57ED5">
        <w:rPr>
          <w:rFonts w:asciiTheme="minorHAnsi" w:hAnsiTheme="minorHAnsi" w:cstheme="minorHAnsi"/>
          <w:b/>
        </w:rPr>
        <w:t>AIMS</w:t>
      </w:r>
    </w:p>
    <w:p w14:paraId="7D570E96" w14:textId="77777777" w:rsidR="00856837" w:rsidRPr="00856837" w:rsidRDefault="00856837" w:rsidP="00184312">
      <w:pPr>
        <w:spacing w:line="360" w:lineRule="auto"/>
        <w:rPr>
          <w:rFonts w:asciiTheme="minorHAnsi" w:hAnsiTheme="minorHAnsi" w:cstheme="minorHAnsi"/>
          <w:b/>
        </w:rPr>
      </w:pPr>
    </w:p>
    <w:p w14:paraId="3A842DC7" w14:textId="5929B052" w:rsidR="00232899" w:rsidRPr="00D57ED5" w:rsidRDefault="004E0890" w:rsidP="004E0890">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evaluate if </w:t>
      </w:r>
      <w:r w:rsidR="00891A5F" w:rsidRPr="00D57ED5">
        <w:rPr>
          <w:rFonts w:cstheme="minorHAnsi"/>
          <w:sz w:val="24"/>
          <w:szCs w:val="24"/>
        </w:rPr>
        <w:t>automated feature selection</w:t>
      </w:r>
      <w:r w:rsidR="007F23B8">
        <w:rPr>
          <w:rFonts w:cstheme="minorHAnsi"/>
          <w:sz w:val="24"/>
          <w:szCs w:val="24"/>
        </w:rPr>
        <w:t>, feature engineering</w:t>
      </w:r>
      <w:r w:rsidR="00891A5F" w:rsidRPr="00D57ED5">
        <w:rPr>
          <w:rFonts w:cstheme="minorHAnsi"/>
          <w:sz w:val="24"/>
          <w:szCs w:val="24"/>
        </w:rPr>
        <w:t xml:space="preserve"> </w:t>
      </w:r>
      <w:r w:rsidR="007F23B8">
        <w:rPr>
          <w:rFonts w:cstheme="minorHAnsi"/>
          <w:sz w:val="24"/>
          <w:szCs w:val="24"/>
        </w:rPr>
        <w:t xml:space="preserve">and ML </w:t>
      </w:r>
      <w:r w:rsidR="00911834" w:rsidRPr="00D57ED5">
        <w:rPr>
          <w:rFonts w:cstheme="minorHAnsi"/>
          <w:sz w:val="24"/>
          <w:szCs w:val="24"/>
        </w:rPr>
        <w:t xml:space="preserve">approaches </w:t>
      </w:r>
      <w:r w:rsidRPr="00D57ED5">
        <w:rPr>
          <w:rFonts w:cstheme="minorHAnsi"/>
          <w:sz w:val="24"/>
          <w:szCs w:val="24"/>
        </w:rPr>
        <w:t xml:space="preserve">applied to a </w:t>
      </w:r>
      <w:r w:rsidR="00F37928" w:rsidRPr="00D57ED5">
        <w:rPr>
          <w:rFonts w:cstheme="minorHAnsi"/>
          <w:sz w:val="24"/>
          <w:szCs w:val="24"/>
        </w:rPr>
        <w:t>large</w:t>
      </w:r>
      <w:r w:rsidRPr="00D57ED5">
        <w:rPr>
          <w:rFonts w:cstheme="minorHAnsi"/>
          <w:sz w:val="24"/>
          <w:szCs w:val="24"/>
        </w:rPr>
        <w:t xml:space="preserve"> dataset </w:t>
      </w:r>
      <w:r w:rsidR="00F37928" w:rsidRPr="00D57ED5">
        <w:rPr>
          <w:rFonts w:cstheme="minorHAnsi"/>
          <w:sz w:val="24"/>
          <w:szCs w:val="24"/>
        </w:rPr>
        <w:t xml:space="preserve">with minimal human input </w:t>
      </w:r>
      <w:r w:rsidR="00232899" w:rsidRPr="00D57ED5">
        <w:rPr>
          <w:rFonts w:cstheme="minorHAnsi"/>
          <w:sz w:val="24"/>
          <w:szCs w:val="24"/>
        </w:rPr>
        <w:t xml:space="preserve">can </w:t>
      </w:r>
      <w:r w:rsidR="00891A5F" w:rsidRPr="00D57ED5">
        <w:rPr>
          <w:rFonts w:cstheme="minorHAnsi"/>
          <w:sz w:val="24"/>
          <w:szCs w:val="24"/>
        </w:rPr>
        <w:t xml:space="preserve">produce models with that predict disease </w:t>
      </w:r>
      <w:r w:rsidR="00234E59" w:rsidRPr="00D57ED5">
        <w:rPr>
          <w:rFonts w:cstheme="minorHAnsi"/>
          <w:sz w:val="24"/>
          <w:szCs w:val="24"/>
        </w:rPr>
        <w:t>outcome</w:t>
      </w:r>
      <w:r w:rsidRPr="00D57ED5">
        <w:rPr>
          <w:rFonts w:cstheme="minorHAnsi"/>
          <w:sz w:val="24"/>
          <w:szCs w:val="24"/>
        </w:rPr>
        <w:t>s</w:t>
      </w:r>
      <w:r w:rsidR="00234E59" w:rsidRPr="00D57ED5">
        <w:rPr>
          <w:rFonts w:cstheme="minorHAnsi"/>
          <w:sz w:val="24"/>
          <w:szCs w:val="24"/>
        </w:rPr>
        <w:t xml:space="preserve"> </w:t>
      </w:r>
      <w:r w:rsidR="00A072A3" w:rsidRPr="00D57ED5">
        <w:rPr>
          <w:rFonts w:cstheme="minorHAnsi"/>
          <w:sz w:val="24"/>
          <w:szCs w:val="24"/>
        </w:rPr>
        <w:t xml:space="preserve">as well, or better than </w:t>
      </w:r>
      <w:r w:rsidR="00911834" w:rsidRPr="00D57ED5">
        <w:rPr>
          <w:rFonts w:cstheme="minorHAnsi"/>
          <w:sz w:val="24"/>
          <w:szCs w:val="24"/>
        </w:rPr>
        <w:t>conventional approaches with established risk factors</w:t>
      </w:r>
      <w:r w:rsidR="00232899" w:rsidRPr="00D57ED5">
        <w:rPr>
          <w:rFonts w:cstheme="minorHAnsi"/>
          <w:sz w:val="24"/>
          <w:szCs w:val="24"/>
        </w:rPr>
        <w:t>.</w:t>
      </w:r>
    </w:p>
    <w:p w14:paraId="54968872" w14:textId="2DEF0855" w:rsidR="00255C97" w:rsidRPr="00D57ED5" w:rsidRDefault="003446EE" w:rsidP="00255C97">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test if measures of infant growth can improve </w:t>
      </w:r>
      <w:r w:rsidR="00ED7B7B" w:rsidRPr="00D57ED5">
        <w:rPr>
          <w:rFonts w:cstheme="minorHAnsi"/>
          <w:sz w:val="24"/>
          <w:szCs w:val="24"/>
        </w:rPr>
        <w:t xml:space="preserve">the </w:t>
      </w:r>
      <w:r w:rsidRPr="00D57ED5">
        <w:rPr>
          <w:rFonts w:cstheme="minorHAnsi"/>
          <w:sz w:val="24"/>
          <w:szCs w:val="24"/>
        </w:rPr>
        <w:t xml:space="preserve">prediction of </w:t>
      </w:r>
      <w:r w:rsidR="00065764" w:rsidRPr="00D57ED5">
        <w:rPr>
          <w:rFonts w:cstheme="minorHAnsi"/>
          <w:sz w:val="24"/>
          <w:szCs w:val="24"/>
        </w:rPr>
        <w:t>HIE.</w:t>
      </w:r>
    </w:p>
    <w:p w14:paraId="28213D04" w14:textId="1B2ED52F" w:rsidR="00065764" w:rsidRPr="00D57ED5" w:rsidRDefault="00A879AD" w:rsidP="00B0655A">
      <w:pPr>
        <w:pStyle w:val="ListParagraph"/>
        <w:numPr>
          <w:ilvl w:val="0"/>
          <w:numId w:val="1"/>
        </w:numPr>
        <w:spacing w:after="0" w:line="360" w:lineRule="auto"/>
        <w:rPr>
          <w:rFonts w:cstheme="minorHAnsi"/>
          <w:sz w:val="24"/>
          <w:szCs w:val="24"/>
        </w:rPr>
      </w:pPr>
      <w:r>
        <w:rPr>
          <w:rFonts w:cstheme="minorHAnsi"/>
          <w:sz w:val="24"/>
          <w:szCs w:val="24"/>
        </w:rPr>
        <w:t xml:space="preserve">Determine and compare the performance of </w:t>
      </w:r>
      <w:r w:rsidR="00255C97" w:rsidRPr="00D57ED5">
        <w:rPr>
          <w:rFonts w:cstheme="minorHAnsi"/>
          <w:sz w:val="24"/>
          <w:szCs w:val="24"/>
        </w:rPr>
        <w:t xml:space="preserve">a range of binary classifiers </w:t>
      </w:r>
      <w:r>
        <w:rPr>
          <w:rFonts w:cstheme="minorHAnsi"/>
          <w:sz w:val="24"/>
          <w:szCs w:val="24"/>
        </w:rPr>
        <w:t>in predicting HIE.</w:t>
      </w:r>
    </w:p>
    <w:p w14:paraId="066605EA" w14:textId="77777777" w:rsidR="00232899" w:rsidRPr="00D57ED5" w:rsidRDefault="00232899" w:rsidP="00184312">
      <w:pPr>
        <w:spacing w:line="360" w:lineRule="auto"/>
        <w:rPr>
          <w:rFonts w:asciiTheme="minorHAnsi" w:hAnsiTheme="minorHAnsi" w:cstheme="minorHAnsi"/>
        </w:rPr>
      </w:pPr>
    </w:p>
    <w:p w14:paraId="509F222C" w14:textId="254413E9" w:rsidR="003C1268" w:rsidRPr="00D57ED5" w:rsidRDefault="003C1268" w:rsidP="00184312">
      <w:pPr>
        <w:spacing w:line="360" w:lineRule="auto"/>
        <w:rPr>
          <w:rFonts w:asciiTheme="minorHAnsi" w:hAnsiTheme="minorHAnsi" w:cstheme="minorHAnsi"/>
          <w:b/>
          <w:bCs/>
        </w:rPr>
      </w:pPr>
    </w:p>
    <w:p w14:paraId="419E77E3" w14:textId="77777777" w:rsidR="006D12ED" w:rsidRPr="00D57ED5" w:rsidRDefault="006D12ED" w:rsidP="006D12ED">
      <w:pPr>
        <w:spacing w:line="360" w:lineRule="auto"/>
        <w:rPr>
          <w:rFonts w:asciiTheme="minorHAnsi" w:hAnsiTheme="minorHAnsi" w:cstheme="minorHAnsi"/>
        </w:rPr>
      </w:pPr>
    </w:p>
    <w:p w14:paraId="65D7EA13" w14:textId="77777777" w:rsidR="00181295" w:rsidRPr="00D57ED5" w:rsidRDefault="00181295" w:rsidP="00184312">
      <w:pPr>
        <w:spacing w:line="360" w:lineRule="auto"/>
        <w:rPr>
          <w:rFonts w:asciiTheme="minorHAnsi" w:hAnsiTheme="minorHAnsi" w:cstheme="minorHAnsi"/>
        </w:rPr>
      </w:pPr>
    </w:p>
    <w:p w14:paraId="52F0C8D1" w14:textId="77777777" w:rsidR="00A072A3" w:rsidRPr="00D57ED5" w:rsidRDefault="00A072A3" w:rsidP="00184312">
      <w:pPr>
        <w:spacing w:line="360" w:lineRule="auto"/>
        <w:rPr>
          <w:rFonts w:asciiTheme="minorHAnsi" w:hAnsiTheme="minorHAnsi" w:cstheme="minorHAnsi"/>
        </w:rPr>
      </w:pPr>
    </w:p>
    <w:p w14:paraId="6E4CD900" w14:textId="77777777" w:rsidR="00CD4644" w:rsidRPr="00D57ED5" w:rsidRDefault="00CD4644" w:rsidP="003F1EA7">
      <w:pPr>
        <w:spacing w:line="360" w:lineRule="auto"/>
        <w:rPr>
          <w:rFonts w:asciiTheme="minorHAnsi" w:hAnsiTheme="minorHAnsi" w:cstheme="minorHAnsi"/>
        </w:rPr>
      </w:pPr>
    </w:p>
    <w:p w14:paraId="1DB6A65B" w14:textId="0318BD0A" w:rsidR="00CA7ADA" w:rsidRPr="00D57ED5" w:rsidRDefault="00CA7ADA" w:rsidP="003F1EA7">
      <w:pPr>
        <w:spacing w:line="360" w:lineRule="auto"/>
        <w:rPr>
          <w:rFonts w:asciiTheme="minorHAnsi" w:hAnsiTheme="minorHAnsi" w:cstheme="minorHAnsi"/>
        </w:rPr>
      </w:pPr>
    </w:p>
    <w:p w14:paraId="010E8E21" w14:textId="77777777" w:rsidR="00285073" w:rsidRPr="00D57ED5" w:rsidRDefault="00285073" w:rsidP="003F1EA7">
      <w:pPr>
        <w:spacing w:line="360" w:lineRule="auto"/>
        <w:rPr>
          <w:rFonts w:asciiTheme="minorHAnsi" w:hAnsiTheme="minorHAnsi" w:cstheme="minorHAnsi"/>
        </w:rPr>
      </w:pPr>
    </w:p>
    <w:p w14:paraId="2288823E" w14:textId="69F938BF" w:rsidR="00AC164B" w:rsidRDefault="00AC164B" w:rsidP="003F1EA7">
      <w:pPr>
        <w:spacing w:line="360" w:lineRule="auto"/>
        <w:rPr>
          <w:rFonts w:asciiTheme="minorHAnsi" w:hAnsiTheme="minorHAnsi" w:cstheme="minorHAnsi"/>
        </w:rPr>
      </w:pPr>
    </w:p>
    <w:p w14:paraId="74D13BCC" w14:textId="77777777" w:rsidR="00F2749D" w:rsidRPr="00F2749D" w:rsidRDefault="00F2749D" w:rsidP="003F1EA7">
      <w:pPr>
        <w:spacing w:line="360" w:lineRule="auto"/>
        <w:rPr>
          <w:rFonts w:asciiTheme="minorHAnsi" w:hAnsiTheme="minorHAnsi" w:cstheme="minorHAnsi"/>
          <w:b/>
          <w:bCs/>
        </w:rPr>
      </w:pPr>
    </w:p>
    <w:p w14:paraId="5EF550E4" w14:textId="77777777" w:rsidR="00176FCD" w:rsidRPr="00D57ED5" w:rsidRDefault="00176FCD" w:rsidP="003F1EA7">
      <w:pPr>
        <w:spacing w:line="360" w:lineRule="auto"/>
        <w:rPr>
          <w:rFonts w:asciiTheme="minorHAnsi" w:hAnsiTheme="minorHAnsi" w:cstheme="minorHAnsi"/>
        </w:rPr>
      </w:pPr>
    </w:p>
    <w:p w14:paraId="0C3AFC14" w14:textId="77777777" w:rsidR="00A300CD" w:rsidRPr="00A300CD" w:rsidRDefault="00A300CD" w:rsidP="00A300CD">
      <w:pPr>
        <w:spacing w:line="360" w:lineRule="auto"/>
        <w:rPr>
          <w:rFonts w:asciiTheme="minorHAnsi" w:hAnsiTheme="minorHAnsi" w:cstheme="minorHAnsi"/>
          <w:b/>
          <w:bCs/>
        </w:rPr>
      </w:pPr>
    </w:p>
    <w:p w14:paraId="0DB96201" w14:textId="77777777" w:rsidR="00DD46D4" w:rsidRDefault="00DD46D4" w:rsidP="004642A5">
      <w:pPr>
        <w:pStyle w:val="CommentText"/>
        <w:spacing w:after="0" w:line="480" w:lineRule="auto"/>
        <w:rPr>
          <w:rFonts w:ascii="Times New Roman" w:hAnsi="Times New Roman"/>
          <w:sz w:val="24"/>
          <w:szCs w:val="24"/>
        </w:rPr>
      </w:pPr>
    </w:p>
    <w:p w14:paraId="3D6CB4E0" w14:textId="7A96FEC9" w:rsidR="00C743B0" w:rsidRDefault="00C868DF" w:rsidP="004642A5">
      <w:pPr>
        <w:pStyle w:val="CommentText"/>
        <w:spacing w:after="0" w:line="480" w:lineRule="auto"/>
        <w:rPr>
          <w:rFonts w:ascii="Times New Roman" w:hAnsi="Times New Roman"/>
          <w:sz w:val="24"/>
          <w:szCs w:val="24"/>
        </w:rPr>
      </w:pPr>
      <w:r w:rsidRPr="00AE6F68">
        <w:rPr>
          <w:rFonts w:ascii="Times New Roman" w:hAnsi="Times New Roman"/>
          <w:sz w:val="24"/>
          <w:szCs w:val="24"/>
        </w:rPr>
        <w:t>Internal limitations of this work include missing data (selection bias)</w:t>
      </w:r>
      <w:r w:rsidR="00AD4680">
        <w:rPr>
          <w:rFonts w:ascii="Times New Roman" w:hAnsi="Times New Roman"/>
          <w:sz w:val="24"/>
          <w:szCs w:val="24"/>
        </w:rPr>
        <w:t xml:space="preserve">; although </w:t>
      </w:r>
      <w:r w:rsidR="005B2C4D">
        <w:rPr>
          <w:rFonts w:ascii="Times New Roman" w:hAnsi="Times New Roman"/>
          <w:sz w:val="24"/>
          <w:szCs w:val="24"/>
        </w:rPr>
        <w:t>only 390</w:t>
      </w:r>
      <w:r w:rsidR="00AD4680">
        <w:rPr>
          <w:rFonts w:ascii="Times New Roman" w:hAnsi="Times New Roman"/>
          <w:sz w:val="24"/>
          <w:szCs w:val="24"/>
        </w:rPr>
        <w:t xml:space="preserve"> </w:t>
      </w:r>
      <w:r w:rsidR="008F1E77">
        <w:rPr>
          <w:rFonts w:ascii="Times New Roman" w:hAnsi="Times New Roman"/>
          <w:sz w:val="24"/>
          <w:szCs w:val="24"/>
        </w:rPr>
        <w:t xml:space="preserve">infants </w:t>
      </w:r>
      <w:commentRangeStart w:id="0"/>
      <w:r w:rsidR="00AD4680">
        <w:rPr>
          <w:rFonts w:ascii="Times New Roman" w:hAnsi="Times New Roman"/>
          <w:sz w:val="24"/>
          <w:szCs w:val="24"/>
        </w:rPr>
        <w:t>were</w:t>
      </w:r>
      <w:commentRangeEnd w:id="0"/>
      <w:r w:rsidR="008F1E77">
        <w:rPr>
          <w:rStyle w:val="CommentReference"/>
        </w:rPr>
        <w:commentReference w:id="0"/>
      </w:r>
      <w:r w:rsidR="00AD4680">
        <w:rPr>
          <w:rFonts w:ascii="Times New Roman" w:hAnsi="Times New Roman"/>
          <w:sz w:val="24"/>
          <w:szCs w:val="24"/>
        </w:rPr>
        <w:t xml:space="preserve"> not included in any of the conventional or ML models.</w:t>
      </w:r>
      <w:r w:rsidR="00EC2439">
        <w:rPr>
          <w:rFonts w:ascii="Times New Roman" w:hAnsi="Times New Roman"/>
          <w:sz w:val="24"/>
          <w:szCs w:val="24"/>
        </w:rPr>
        <w:t xml:space="preserve"> </w:t>
      </w:r>
      <w:r w:rsidR="004642A5">
        <w:rPr>
          <w:rFonts w:ascii="Times New Roman" w:hAnsi="Times New Roman"/>
          <w:sz w:val="24"/>
          <w:szCs w:val="24"/>
        </w:rPr>
        <w:t xml:space="preserve">While the data was derived from a </w:t>
      </w:r>
      <w:r w:rsidRPr="00AE6F68">
        <w:rPr>
          <w:rFonts w:ascii="Times New Roman" w:hAnsi="Times New Roman"/>
          <w:sz w:val="24"/>
          <w:szCs w:val="24"/>
        </w:rPr>
        <w:t>large cohort study considered to be of high methodological quality,</w:t>
      </w:r>
      <w:r w:rsidR="004642A5">
        <w:rPr>
          <w:rFonts w:ascii="Times New Roman" w:hAnsi="Times New Roman"/>
          <w:sz w:val="24"/>
          <w:szCs w:val="24"/>
        </w:rPr>
        <w:t xml:space="preserve"> it is </w:t>
      </w:r>
      <w:r w:rsidR="00C743B0">
        <w:rPr>
          <w:rFonts w:ascii="Times New Roman" w:hAnsi="Times New Roman"/>
          <w:sz w:val="24"/>
          <w:szCs w:val="24"/>
        </w:rPr>
        <w:t xml:space="preserve">clearly limited by the age of the data; although the </w:t>
      </w:r>
      <w:r w:rsidR="00F6397A">
        <w:rPr>
          <w:rFonts w:ascii="Times New Roman" w:hAnsi="Times New Roman"/>
          <w:sz w:val="24"/>
          <w:szCs w:val="24"/>
        </w:rPr>
        <w:t>risk factors proposed in Badawi’s work (derived from an Australian population) some decades later were still strong predictors of outcome</w:t>
      </w:r>
      <w:r w:rsidR="00583826">
        <w:rPr>
          <w:rFonts w:ascii="Times New Roman" w:hAnsi="Times New Roman"/>
          <w:sz w:val="24"/>
          <w:szCs w:val="24"/>
        </w:rPr>
        <w:t xml:space="preserve">; suggesting that the main underlying causes of perinatal death and HIE remain significant over this time frame. </w:t>
      </w:r>
      <w:r w:rsidR="00972953">
        <w:rPr>
          <w:rFonts w:ascii="Times New Roman" w:hAnsi="Times New Roman"/>
          <w:sz w:val="24"/>
          <w:szCs w:val="24"/>
        </w:rPr>
        <w:t xml:space="preserve">In addition, for this to provide a valid use to clinicians it need to be tested on recent, but also </w:t>
      </w:r>
      <w:r w:rsidR="009B4219">
        <w:rPr>
          <w:rFonts w:ascii="Times New Roman" w:hAnsi="Times New Roman"/>
          <w:sz w:val="24"/>
          <w:szCs w:val="24"/>
        </w:rPr>
        <w:t>routinely collected data; with likely less cleaning and more missing data points than</w:t>
      </w:r>
      <w:r w:rsidR="00FA73BA">
        <w:rPr>
          <w:rFonts w:ascii="Times New Roman" w:hAnsi="Times New Roman"/>
          <w:sz w:val="24"/>
          <w:szCs w:val="24"/>
        </w:rPr>
        <w:t xml:space="preserve"> </w:t>
      </w:r>
      <w:r w:rsidR="009B4219">
        <w:rPr>
          <w:rFonts w:ascii="Times New Roman" w:hAnsi="Times New Roman"/>
          <w:sz w:val="24"/>
          <w:szCs w:val="24"/>
        </w:rPr>
        <w:t xml:space="preserve">is present in this research dataset. </w:t>
      </w:r>
    </w:p>
    <w:p w14:paraId="39A12D21" w14:textId="77777777" w:rsidR="00D71270" w:rsidRDefault="00D71270" w:rsidP="004642A5">
      <w:pPr>
        <w:pStyle w:val="CommentText"/>
        <w:spacing w:after="0" w:line="480" w:lineRule="auto"/>
        <w:rPr>
          <w:rFonts w:ascii="Times New Roman" w:hAnsi="Times New Roman"/>
          <w:color w:val="FF0000"/>
          <w:sz w:val="24"/>
          <w:szCs w:val="24"/>
        </w:rPr>
      </w:pPr>
    </w:p>
    <w:p w14:paraId="4139B0A1" w14:textId="05F596A7" w:rsidR="000F105A" w:rsidRPr="00692433" w:rsidRDefault="000F105A" w:rsidP="004642A5">
      <w:pPr>
        <w:pStyle w:val="CommentText"/>
        <w:spacing w:after="0" w:line="480" w:lineRule="auto"/>
        <w:rPr>
          <w:rFonts w:ascii="Times New Roman" w:hAnsi="Times New Roman"/>
          <w:color w:val="FF0000"/>
          <w:sz w:val="24"/>
          <w:szCs w:val="24"/>
        </w:rPr>
      </w:pPr>
      <w:r w:rsidRPr="00692433">
        <w:rPr>
          <w:rFonts w:ascii="Times New Roman" w:hAnsi="Times New Roman"/>
          <w:color w:val="FF0000"/>
          <w:sz w:val="24"/>
          <w:szCs w:val="24"/>
        </w:rPr>
        <w:t>MATT CAN YOU ADD YOUR ‘AREAS’ HERE?</w:t>
      </w:r>
    </w:p>
    <w:p w14:paraId="660924FF" w14:textId="77777777" w:rsidR="00D71270" w:rsidRDefault="00D71270" w:rsidP="004642A5">
      <w:pPr>
        <w:pStyle w:val="CommentText"/>
        <w:spacing w:after="0" w:line="480" w:lineRule="auto"/>
        <w:rPr>
          <w:rFonts w:ascii="Times New Roman" w:hAnsi="Times New Roman"/>
          <w:sz w:val="24"/>
          <w:szCs w:val="24"/>
        </w:rPr>
      </w:pPr>
    </w:p>
    <w:p w14:paraId="48E2F420" w14:textId="01E37186" w:rsidR="00583826" w:rsidRDefault="00583826" w:rsidP="004642A5">
      <w:pPr>
        <w:pStyle w:val="CommentText"/>
        <w:spacing w:after="0" w:line="480" w:lineRule="auto"/>
        <w:rPr>
          <w:rFonts w:ascii="Times New Roman" w:hAnsi="Times New Roman"/>
          <w:sz w:val="24"/>
          <w:szCs w:val="24"/>
        </w:rPr>
      </w:pPr>
      <w:commentRangeStart w:id="1"/>
      <w:r>
        <w:rPr>
          <w:rFonts w:ascii="Times New Roman" w:hAnsi="Times New Roman"/>
          <w:sz w:val="24"/>
          <w:szCs w:val="24"/>
        </w:rPr>
        <w:t>This work is consistent with other prediction work</w:t>
      </w:r>
      <w:commentRangeEnd w:id="1"/>
      <w:r w:rsidR="00364813">
        <w:rPr>
          <w:rStyle w:val="CommentReference"/>
        </w:rPr>
        <w:commentReference w:id="1"/>
      </w:r>
      <w:r>
        <w:rPr>
          <w:rFonts w:ascii="Times New Roman" w:hAnsi="Times New Roman"/>
          <w:sz w:val="24"/>
          <w:szCs w:val="24"/>
        </w:rPr>
        <w:t xml:space="preserve">, suggesting that poor birth condition can be predicted, although in this study we have attempted to test if ‘raw’ data, mostly unprepared by the research team, could be used by the ML model to aid clinicians. The advantages of this would mean application across the multiple data standards and systems in place within healthcare services, and the development of adaptive risk scores to aid decisions around and before birth. Women in the highest decile of risk had risks of between 20% and </w:t>
      </w:r>
      <w:r>
        <w:rPr>
          <w:rFonts w:ascii="Times New Roman" w:hAnsi="Times New Roman"/>
          <w:sz w:val="24"/>
          <w:szCs w:val="24"/>
        </w:rPr>
        <w:lastRenderedPageBreak/>
        <w:t>40% of their infant developing brain injury around birth (compared to the background risk of only 0.5%</w:t>
      </w:r>
      <w:proofErr w:type="gramStart"/>
      <w:r>
        <w:rPr>
          <w:rFonts w:ascii="Times New Roman" w:hAnsi="Times New Roman"/>
          <w:sz w:val="24"/>
          <w:szCs w:val="24"/>
        </w:rPr>
        <w:t>);</w:t>
      </w:r>
      <w:proofErr w:type="gramEnd"/>
      <w:r>
        <w:rPr>
          <w:rFonts w:ascii="Times New Roman" w:hAnsi="Times New Roman"/>
          <w:sz w:val="24"/>
          <w:szCs w:val="24"/>
        </w:rPr>
        <w:t xml:space="preserve"> with this risk predictable from antenatal measures. If replicable using live </w:t>
      </w:r>
      <w:r w:rsidR="00364813">
        <w:rPr>
          <w:rFonts w:ascii="Times New Roman" w:hAnsi="Times New Roman"/>
          <w:sz w:val="24"/>
          <w:szCs w:val="24"/>
        </w:rPr>
        <w:t>data,</w:t>
      </w:r>
      <w:r>
        <w:rPr>
          <w:rFonts w:ascii="Times New Roman" w:hAnsi="Times New Roman"/>
          <w:sz w:val="24"/>
          <w:szCs w:val="24"/>
        </w:rPr>
        <w:t xml:space="preserve"> this would give the mother and clinicians valuable data to help guide </w:t>
      </w:r>
      <w:r w:rsidR="00364813">
        <w:rPr>
          <w:rFonts w:ascii="Times New Roman" w:hAnsi="Times New Roman"/>
          <w:sz w:val="24"/>
          <w:szCs w:val="24"/>
        </w:rPr>
        <w:t>management</w:t>
      </w:r>
      <w:r>
        <w:rPr>
          <w:rFonts w:ascii="Times New Roman" w:hAnsi="Times New Roman"/>
          <w:sz w:val="24"/>
          <w:szCs w:val="24"/>
        </w:rPr>
        <w:t xml:space="preserve"> as we know interventions exists to reduce or modify the risk. </w:t>
      </w:r>
      <w:r w:rsidR="002B76B5">
        <w:rPr>
          <w:rFonts w:ascii="Times New Roman" w:hAnsi="Times New Roman"/>
          <w:sz w:val="24"/>
          <w:szCs w:val="24"/>
        </w:rPr>
        <w:t>We also wanted to test if g</w:t>
      </w:r>
      <w:r>
        <w:rPr>
          <w:rFonts w:ascii="Times New Roman" w:hAnsi="Times New Roman"/>
          <w:sz w:val="24"/>
          <w:szCs w:val="24"/>
        </w:rPr>
        <w:t>rowt</w:t>
      </w:r>
      <w:r w:rsidR="002B76B5">
        <w:rPr>
          <w:rFonts w:ascii="Times New Roman" w:hAnsi="Times New Roman"/>
          <w:sz w:val="24"/>
          <w:szCs w:val="24"/>
        </w:rPr>
        <w:t xml:space="preserve">h measure, at the time measures after the birth of the infant but now </w:t>
      </w:r>
      <w:r w:rsidR="00364813">
        <w:rPr>
          <w:rFonts w:ascii="Times New Roman" w:hAnsi="Times New Roman"/>
          <w:sz w:val="24"/>
          <w:szCs w:val="24"/>
        </w:rPr>
        <w:t>measurable</w:t>
      </w:r>
      <w:r w:rsidR="002B76B5">
        <w:rPr>
          <w:rFonts w:ascii="Times New Roman" w:hAnsi="Times New Roman"/>
          <w:sz w:val="24"/>
          <w:szCs w:val="24"/>
        </w:rPr>
        <w:t xml:space="preserve"> in-utero using ultrasound would add prediction to the model. In the conventional model growth did add additional value for HIE (p=0.0263) and perinatal death (p=0.005), </w:t>
      </w:r>
      <w:proofErr w:type="gramStart"/>
      <w:r w:rsidR="002B76B5">
        <w:rPr>
          <w:rFonts w:ascii="Times New Roman" w:hAnsi="Times New Roman"/>
          <w:sz w:val="24"/>
          <w:szCs w:val="24"/>
        </w:rPr>
        <w:t xml:space="preserve">but </w:t>
      </w:r>
      <w:r w:rsidR="002B76B5" w:rsidRPr="00364813">
        <w:rPr>
          <w:rFonts w:ascii="Times New Roman" w:hAnsi="Times New Roman"/>
          <w:color w:val="FF0000"/>
          <w:sz w:val="24"/>
          <w:szCs w:val="24"/>
        </w:rPr>
        <w:t>?NOT</w:t>
      </w:r>
      <w:proofErr w:type="gramEnd"/>
      <w:r w:rsidR="002B76B5" w:rsidRPr="00364813">
        <w:rPr>
          <w:rFonts w:ascii="Times New Roman" w:hAnsi="Times New Roman"/>
          <w:color w:val="FF0000"/>
          <w:sz w:val="24"/>
          <w:szCs w:val="24"/>
        </w:rPr>
        <w:t xml:space="preserve">? </w:t>
      </w:r>
      <w:r w:rsidR="002B76B5">
        <w:rPr>
          <w:rFonts w:ascii="Times New Roman" w:hAnsi="Times New Roman"/>
          <w:sz w:val="24"/>
          <w:szCs w:val="24"/>
        </w:rPr>
        <w:t xml:space="preserve">in the ML models. This may reflect other measures of </w:t>
      </w:r>
      <w:r w:rsidR="00364813">
        <w:rPr>
          <w:rFonts w:ascii="Times New Roman" w:hAnsi="Times New Roman"/>
          <w:sz w:val="24"/>
          <w:szCs w:val="24"/>
        </w:rPr>
        <w:t>growth or</w:t>
      </w:r>
      <w:r w:rsidR="002B76B5">
        <w:rPr>
          <w:rFonts w:ascii="Times New Roman" w:hAnsi="Times New Roman"/>
          <w:sz w:val="24"/>
          <w:szCs w:val="24"/>
        </w:rPr>
        <w:t xml:space="preserve"> correlated of it (e.g. number of outpatient appointments) stored in the antenatal record and further work using antenatal measures should interrogate this. </w:t>
      </w:r>
    </w:p>
    <w:p w14:paraId="0A95729E" w14:textId="77777777" w:rsidR="00C868DF" w:rsidRPr="00D57ED5" w:rsidRDefault="00C868DF" w:rsidP="0050196D">
      <w:pPr>
        <w:rPr>
          <w:rFonts w:asciiTheme="minorHAnsi" w:hAnsiTheme="minorHAnsi" w:cstheme="minorHAnsi"/>
          <w:b/>
        </w:rPr>
      </w:pPr>
    </w:p>
    <w:p w14:paraId="786119A5" w14:textId="77777777" w:rsidR="00362FCF" w:rsidRPr="00D57ED5" w:rsidRDefault="00362FCF" w:rsidP="0050196D">
      <w:pPr>
        <w:rPr>
          <w:rFonts w:asciiTheme="minorHAnsi" w:hAnsiTheme="minorHAnsi" w:cstheme="minorHAnsi"/>
          <w:b/>
        </w:rPr>
      </w:pPr>
      <w:r w:rsidRPr="00D57ED5">
        <w:rPr>
          <w:rFonts w:asciiTheme="minorHAnsi" w:hAnsiTheme="minorHAnsi" w:cstheme="minorHAnsi"/>
          <w:b/>
        </w:rPr>
        <w:t>Conclusion</w:t>
      </w:r>
    </w:p>
    <w:p w14:paraId="4021B91D" w14:textId="77777777" w:rsidR="00362FCF" w:rsidRPr="00D57ED5" w:rsidRDefault="00362FCF" w:rsidP="0050196D">
      <w:pPr>
        <w:rPr>
          <w:rFonts w:asciiTheme="minorHAnsi" w:hAnsiTheme="minorHAnsi" w:cstheme="minorHAnsi"/>
          <w:b/>
        </w:rPr>
      </w:pPr>
    </w:p>
    <w:p w14:paraId="68C77635" w14:textId="06AAABAE" w:rsidR="00362FCF" w:rsidRPr="00D57ED5" w:rsidRDefault="00362FCF" w:rsidP="00184312">
      <w:pPr>
        <w:spacing w:line="360" w:lineRule="auto"/>
        <w:rPr>
          <w:rFonts w:asciiTheme="minorHAnsi" w:hAnsiTheme="minorHAnsi" w:cstheme="minorHAnsi"/>
        </w:rPr>
      </w:pPr>
      <w:r w:rsidRPr="00D57ED5">
        <w:rPr>
          <w:rFonts w:asciiTheme="minorHAnsi" w:hAnsiTheme="minorHAnsi" w:cstheme="minorHAnsi"/>
        </w:rPr>
        <w:t>In this work, on a historical cohort, machine learning model</w:t>
      </w:r>
      <w:r w:rsidR="008B3C58">
        <w:rPr>
          <w:rFonts w:asciiTheme="minorHAnsi" w:hAnsiTheme="minorHAnsi" w:cstheme="minorHAnsi"/>
        </w:rPr>
        <w:t>s</w:t>
      </w:r>
      <w:r w:rsidRPr="00D57ED5">
        <w:rPr>
          <w:rFonts w:asciiTheme="minorHAnsi" w:hAnsiTheme="minorHAnsi" w:cstheme="minorHAnsi"/>
        </w:rPr>
        <w:t xml:space="preserve"> with minimum data preparation </w:t>
      </w:r>
      <w:r w:rsidR="008B3C58">
        <w:rPr>
          <w:rFonts w:asciiTheme="minorHAnsi" w:hAnsiTheme="minorHAnsi" w:cstheme="minorHAnsi"/>
        </w:rPr>
        <w:t xml:space="preserve">were </w:t>
      </w:r>
      <w:r w:rsidRPr="00D57ED5">
        <w:rPr>
          <w:rFonts w:asciiTheme="minorHAnsi" w:hAnsiTheme="minorHAnsi" w:cstheme="minorHAnsi"/>
        </w:rPr>
        <w:t xml:space="preserve">able to match </w:t>
      </w:r>
      <w:r w:rsidR="00596518" w:rsidRPr="00D57ED5">
        <w:rPr>
          <w:rFonts w:asciiTheme="minorHAnsi" w:hAnsiTheme="minorHAnsi" w:cstheme="minorHAnsi"/>
        </w:rPr>
        <w:t>and, in some examples,</w:t>
      </w:r>
      <w:r w:rsidRPr="00D57ED5">
        <w:rPr>
          <w:rFonts w:asciiTheme="minorHAnsi" w:hAnsiTheme="minorHAnsi" w:cstheme="minorHAnsi"/>
        </w:rPr>
        <w:t xml:space="preserve"> exceed the prediction of conventional analysis in predicting which infants would develop HIE after birth. </w:t>
      </w:r>
      <w:r w:rsidR="002B76B5">
        <w:rPr>
          <w:rFonts w:asciiTheme="minorHAnsi" w:hAnsiTheme="minorHAnsi" w:cstheme="minorHAnsi"/>
        </w:rPr>
        <w:t xml:space="preserve">Some </w:t>
      </w:r>
      <w:r w:rsidRPr="00D57ED5">
        <w:rPr>
          <w:rFonts w:asciiTheme="minorHAnsi" w:hAnsiTheme="minorHAnsi" w:cstheme="minorHAnsi"/>
        </w:rPr>
        <w:t>prediction</w:t>
      </w:r>
      <w:r w:rsidR="008B3C58">
        <w:rPr>
          <w:rFonts w:asciiTheme="minorHAnsi" w:hAnsiTheme="minorHAnsi" w:cstheme="minorHAnsi"/>
        </w:rPr>
        <w:t xml:space="preserve">s </w:t>
      </w:r>
      <w:r w:rsidRPr="00D57ED5">
        <w:rPr>
          <w:rFonts w:asciiTheme="minorHAnsi" w:hAnsiTheme="minorHAnsi" w:cstheme="minorHAnsi"/>
        </w:rPr>
        <w:t xml:space="preserve">improved when measures of growth were </w:t>
      </w:r>
      <w:r w:rsidR="008140BF" w:rsidRPr="00D57ED5">
        <w:rPr>
          <w:rFonts w:asciiTheme="minorHAnsi" w:hAnsiTheme="minorHAnsi" w:cstheme="minorHAnsi"/>
        </w:rPr>
        <w:t>included,</w:t>
      </w:r>
      <w:r w:rsidRPr="00D57ED5">
        <w:rPr>
          <w:rFonts w:asciiTheme="minorHAnsi" w:hAnsiTheme="minorHAnsi" w:cstheme="minorHAnsi"/>
        </w:rPr>
        <w:t xml:space="preserve">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r w:rsidR="00596518" w:rsidRPr="00D57ED5">
        <w:rPr>
          <w:rFonts w:asciiTheme="minorHAnsi" w:hAnsiTheme="minorHAnsi" w:cstheme="minorHAnsi"/>
        </w:rPr>
        <w:t>birth and</w:t>
      </w:r>
      <w:r w:rsidRPr="00D57ED5">
        <w:rPr>
          <w:rFonts w:asciiTheme="minorHAnsi" w:hAnsiTheme="minorHAnsi" w:cstheme="minorHAnsi"/>
        </w:rPr>
        <w:t xml:space="preserve"> help target additional observation or interventions. </w:t>
      </w:r>
    </w:p>
    <w:p w14:paraId="4213CB87" w14:textId="0C73E0D9" w:rsidR="00ED73C3" w:rsidRPr="00D57ED5" w:rsidRDefault="00ED73C3" w:rsidP="00184312">
      <w:pPr>
        <w:spacing w:line="360" w:lineRule="auto"/>
        <w:rPr>
          <w:rFonts w:asciiTheme="minorHAnsi" w:hAnsiTheme="minorHAnsi" w:cstheme="minorHAnsi"/>
        </w:rPr>
      </w:pPr>
    </w:p>
    <w:p w14:paraId="67FFF0DD" w14:textId="77777777" w:rsidR="009F0419" w:rsidRPr="00D57ED5" w:rsidRDefault="009F0419" w:rsidP="00184312">
      <w:pPr>
        <w:spacing w:line="360" w:lineRule="auto"/>
        <w:rPr>
          <w:rFonts w:asciiTheme="minorHAnsi" w:hAnsiTheme="minorHAnsi" w:cstheme="minorHAnsi"/>
          <w:b/>
          <w:bCs/>
        </w:rPr>
      </w:pPr>
    </w:p>
    <w:p w14:paraId="1CCC7D9A" w14:textId="77777777" w:rsidR="00142C7C" w:rsidRPr="00D57ED5" w:rsidRDefault="00142C7C">
      <w:pPr>
        <w:rPr>
          <w:rFonts w:asciiTheme="minorHAnsi" w:hAnsiTheme="minorHAnsi" w:cstheme="minorHAnsi"/>
          <w:b/>
        </w:rPr>
      </w:pPr>
      <w:r w:rsidRPr="00D57ED5">
        <w:rPr>
          <w:rFonts w:asciiTheme="minorHAnsi" w:hAnsiTheme="minorHAnsi" w:cstheme="minorHAnsi"/>
          <w:b/>
        </w:rPr>
        <w:br w:type="page"/>
      </w:r>
    </w:p>
    <w:p w14:paraId="6BFB489F" w14:textId="4ABAAFD8" w:rsidR="00503D13"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lastRenderedPageBreak/>
        <w:t>REFERENCES</w:t>
      </w:r>
    </w:p>
    <w:p w14:paraId="76F8D07A" w14:textId="77777777" w:rsidR="004E1027" w:rsidRPr="00D57ED5" w:rsidRDefault="004E1027" w:rsidP="00184312">
      <w:pPr>
        <w:spacing w:line="360" w:lineRule="auto"/>
        <w:rPr>
          <w:rFonts w:asciiTheme="minorHAnsi" w:hAnsiTheme="minorHAnsi" w:cstheme="minorHAnsi"/>
          <w:b/>
        </w:rPr>
      </w:pPr>
    </w:p>
    <w:p w14:paraId="221DE723" w14:textId="77777777" w:rsidR="00B23379" w:rsidRPr="00D57ED5"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b/>
        </w:rPr>
        <w:fldChar w:fldCharType="begin" w:fldLock="1"/>
      </w:r>
      <w:r w:rsidRPr="00D57ED5">
        <w:rPr>
          <w:rFonts w:asciiTheme="minorHAnsi" w:hAnsiTheme="minorHAnsi" w:cstheme="minorHAnsi"/>
          <w:b/>
        </w:rPr>
        <w:instrText xml:space="preserve">ADDIN Mendeley Bibliography CSL_BIBLIOGRAPHY </w:instrText>
      </w:r>
      <w:r w:rsidRPr="00D57ED5">
        <w:rPr>
          <w:rFonts w:asciiTheme="minorHAnsi" w:hAnsiTheme="minorHAnsi" w:cstheme="minorHAnsi"/>
          <w:b/>
        </w:rPr>
        <w:fldChar w:fldCharType="separate"/>
      </w:r>
      <w:r w:rsidR="00B23379" w:rsidRPr="00D57ED5">
        <w:rPr>
          <w:rFonts w:asciiTheme="minorHAnsi" w:hAnsiTheme="minorHAnsi" w:cstheme="minorHAnsi"/>
          <w:noProof/>
        </w:rPr>
        <w:t>1.</w:t>
      </w:r>
      <w:r w:rsidR="00B23379" w:rsidRPr="00D57ED5">
        <w:rPr>
          <w:rFonts w:asciiTheme="minorHAnsi" w:hAnsiTheme="minorHAnsi" w:cstheme="minorHAnsi"/>
          <w:noProof/>
        </w:rPr>
        <w:tab/>
        <w:t xml:space="preserve">Kingdon, C. </w:t>
      </w:r>
      <w:r w:rsidR="00B23379" w:rsidRPr="00D57ED5">
        <w:rPr>
          <w:rFonts w:asciiTheme="minorHAnsi" w:hAnsiTheme="minorHAnsi" w:cstheme="minorHAnsi"/>
          <w:i/>
          <w:iCs/>
          <w:noProof/>
        </w:rPr>
        <w:t>et al.</w:t>
      </w:r>
      <w:r w:rsidR="00B23379" w:rsidRPr="00D57ED5">
        <w:rPr>
          <w:rFonts w:asciiTheme="minorHAnsi" w:hAnsiTheme="minorHAnsi" w:cstheme="minorHAnsi"/>
          <w:noProof/>
        </w:rPr>
        <w:t xml:space="preserve"> Choice and birth method: mixed-method study of caesarean delivery for maternal request. </w:t>
      </w:r>
      <w:r w:rsidR="00B23379" w:rsidRPr="00D57ED5">
        <w:rPr>
          <w:rFonts w:asciiTheme="minorHAnsi" w:hAnsiTheme="minorHAnsi" w:cstheme="minorHAnsi"/>
          <w:i/>
          <w:iCs/>
          <w:noProof/>
        </w:rPr>
        <w:t>BJOG</w:t>
      </w:r>
      <w:r w:rsidR="00B23379" w:rsidRPr="00D57ED5">
        <w:rPr>
          <w:rFonts w:asciiTheme="minorHAnsi" w:hAnsiTheme="minorHAnsi" w:cstheme="minorHAnsi"/>
          <w:noProof/>
        </w:rPr>
        <w:t xml:space="preserve"> </w:t>
      </w:r>
      <w:r w:rsidR="00B23379" w:rsidRPr="00D57ED5">
        <w:rPr>
          <w:rFonts w:asciiTheme="minorHAnsi" w:hAnsiTheme="minorHAnsi" w:cstheme="minorHAnsi"/>
          <w:b/>
          <w:bCs/>
          <w:noProof/>
        </w:rPr>
        <w:t>116</w:t>
      </w:r>
      <w:r w:rsidR="00B23379" w:rsidRPr="00D57ED5">
        <w:rPr>
          <w:rFonts w:asciiTheme="minorHAnsi" w:hAnsiTheme="minorHAnsi" w:cstheme="minorHAnsi"/>
          <w:noProof/>
        </w:rPr>
        <w:t>, 886–895 (2009).</w:t>
      </w:r>
    </w:p>
    <w:p w14:paraId="7038E86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w:t>
      </w:r>
      <w:r w:rsidRPr="00D57ED5">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D57ED5">
        <w:rPr>
          <w:rFonts w:asciiTheme="minorHAnsi" w:hAnsiTheme="minorHAnsi" w:cstheme="minorHAnsi"/>
          <w:i/>
          <w:iCs/>
          <w:noProof/>
        </w:rPr>
        <w:t>BMC Complement. Altern. Med.</w:t>
      </w:r>
      <w:r w:rsidRPr="00D57ED5">
        <w:rPr>
          <w:rFonts w:asciiTheme="minorHAnsi" w:hAnsiTheme="minorHAnsi" w:cstheme="minorHAnsi"/>
          <w:noProof/>
        </w:rPr>
        <w:t xml:space="preserve"> </w:t>
      </w:r>
      <w:r w:rsidRPr="00D57ED5">
        <w:rPr>
          <w:rFonts w:asciiTheme="minorHAnsi" w:hAnsiTheme="minorHAnsi" w:cstheme="minorHAnsi"/>
          <w:b/>
          <w:bCs/>
          <w:noProof/>
        </w:rPr>
        <w:t>15</w:t>
      </w:r>
      <w:r w:rsidRPr="00D57ED5">
        <w:rPr>
          <w:rFonts w:asciiTheme="minorHAnsi" w:hAnsiTheme="minorHAnsi" w:cstheme="minorHAnsi"/>
          <w:noProof/>
        </w:rPr>
        <w:t>, 143 (2015).</w:t>
      </w:r>
    </w:p>
    <w:p w14:paraId="52399F1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3.</w:t>
      </w:r>
      <w:r w:rsidRPr="00D57ED5">
        <w:rPr>
          <w:rFonts w:asciiTheme="minorHAnsi" w:hAnsiTheme="minorHAnsi" w:cstheme="minorHAnsi"/>
          <w:noProof/>
        </w:rPr>
        <w:tab/>
        <w:t xml:space="preserve">Odd, D. E. </w:t>
      </w:r>
      <w:r w:rsidRPr="00D57ED5">
        <w:rPr>
          <w:rFonts w:asciiTheme="minorHAnsi" w:hAnsiTheme="minorHAnsi" w:cstheme="minorHAnsi"/>
          <w:i/>
          <w:iCs/>
          <w:noProof/>
        </w:rPr>
        <w:t>et al.</w:t>
      </w:r>
      <w:r w:rsidRPr="00D57ED5">
        <w:rPr>
          <w:rFonts w:asciiTheme="minorHAnsi" w:hAnsiTheme="minorHAnsi" w:cstheme="minorHAnsi"/>
          <w:noProof/>
        </w:rPr>
        <w:t xml:space="preserve"> Risk of low Apgar score and socioeconomic position: a study of Swedish male births. </w:t>
      </w:r>
      <w:r w:rsidRPr="00D57ED5">
        <w:rPr>
          <w:rFonts w:asciiTheme="minorHAnsi" w:hAnsiTheme="minorHAnsi" w:cstheme="minorHAnsi"/>
          <w:i/>
          <w:iCs/>
          <w:noProof/>
        </w:rPr>
        <w:t>Acta Paediatr.</w:t>
      </w:r>
      <w:r w:rsidRPr="00D57ED5">
        <w:rPr>
          <w:rFonts w:asciiTheme="minorHAnsi" w:hAnsiTheme="minorHAnsi" w:cstheme="minorHAnsi"/>
          <w:noProof/>
        </w:rPr>
        <w:t xml:space="preserve"> </w:t>
      </w:r>
      <w:r w:rsidRPr="00D57ED5">
        <w:rPr>
          <w:rFonts w:asciiTheme="minorHAnsi" w:hAnsiTheme="minorHAnsi" w:cstheme="minorHAnsi"/>
          <w:b/>
          <w:bCs/>
          <w:noProof/>
        </w:rPr>
        <w:t>97</w:t>
      </w:r>
      <w:r w:rsidRPr="00D57ED5">
        <w:rPr>
          <w:rFonts w:asciiTheme="minorHAnsi" w:hAnsiTheme="minorHAnsi" w:cstheme="minorHAnsi"/>
          <w:noProof/>
        </w:rPr>
        <w:t>, 1275–1280 (2008).</w:t>
      </w:r>
    </w:p>
    <w:p w14:paraId="079870F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4.</w:t>
      </w:r>
      <w:r w:rsidRPr="00D57ED5">
        <w:rPr>
          <w:rFonts w:asciiTheme="minorHAnsi" w:hAnsiTheme="minorHAnsi" w:cstheme="minorHAnsi"/>
          <w:noProof/>
        </w:rPr>
        <w:tab/>
        <w:t>Gynaecologists, R. C. of O. and. Easy Baby Counts. https://www.rcog.org.uk/eachbabycounts.</w:t>
      </w:r>
    </w:p>
    <w:p w14:paraId="7E31D3F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5.</w:t>
      </w:r>
      <w:r w:rsidRPr="00D57ED5">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6.</w:t>
      </w:r>
      <w:r w:rsidRPr="00D57ED5">
        <w:rPr>
          <w:rFonts w:asciiTheme="minorHAnsi" w:hAnsiTheme="minorHAnsi" w:cstheme="minorHAnsi"/>
          <w:noProof/>
        </w:rPr>
        <w:tab/>
        <w:t xml:space="preserve">Odd, D., Heep, A., Luyt, K. &amp; Draycott, T. Hypoxic-Ischaemic Brain Injury: Delivery Before Intrapartum Events. in </w:t>
      </w:r>
      <w:r w:rsidRPr="00D57ED5">
        <w:rPr>
          <w:rFonts w:asciiTheme="minorHAnsi" w:hAnsiTheme="minorHAnsi" w:cstheme="minorHAnsi"/>
          <w:i/>
          <w:iCs/>
          <w:noProof/>
        </w:rPr>
        <w:t>Joined European Neonatal Societies Congress</w:t>
      </w:r>
      <w:r w:rsidRPr="00D57ED5">
        <w:rPr>
          <w:rFonts w:asciiTheme="minorHAnsi" w:hAnsiTheme="minorHAnsi" w:cstheme="minorHAnsi"/>
          <w:noProof/>
        </w:rPr>
        <w:t xml:space="preserve"> (2015).</w:t>
      </w:r>
    </w:p>
    <w:p w14:paraId="38A9EB69"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7.</w:t>
      </w:r>
      <w:r w:rsidRPr="00D57ED5">
        <w:rPr>
          <w:rFonts w:asciiTheme="minorHAnsi" w:hAnsiTheme="minorHAnsi" w:cstheme="minorHAnsi"/>
          <w:noProof/>
        </w:rPr>
        <w:tab/>
        <w:t xml:space="preserve">Draycott, T. </w:t>
      </w:r>
      <w:r w:rsidRPr="00D57ED5">
        <w:rPr>
          <w:rFonts w:asciiTheme="minorHAnsi" w:hAnsiTheme="minorHAnsi" w:cstheme="minorHAnsi"/>
          <w:i/>
          <w:iCs/>
          <w:noProof/>
        </w:rPr>
        <w:t>et al.</w:t>
      </w:r>
      <w:r w:rsidRPr="00D57ED5">
        <w:rPr>
          <w:rFonts w:asciiTheme="minorHAnsi" w:hAnsiTheme="minorHAnsi" w:cstheme="minorHAnsi"/>
          <w:noProof/>
        </w:rPr>
        <w:t xml:space="preserve"> Does training in obstetric emergencies improve neonatal outcome? </w:t>
      </w:r>
      <w:r w:rsidRPr="00D57ED5">
        <w:rPr>
          <w:rFonts w:asciiTheme="minorHAnsi" w:hAnsiTheme="minorHAnsi" w:cstheme="minorHAnsi"/>
          <w:i/>
          <w:iCs/>
          <w:noProof/>
        </w:rPr>
        <w:t>Bjog</w:t>
      </w:r>
      <w:r w:rsidRPr="00D57ED5">
        <w:rPr>
          <w:rFonts w:asciiTheme="minorHAnsi" w:hAnsiTheme="minorHAnsi" w:cstheme="minorHAnsi"/>
          <w:noProof/>
        </w:rPr>
        <w:t xml:space="preserve"> </w:t>
      </w:r>
      <w:r w:rsidRPr="00D57ED5">
        <w:rPr>
          <w:rFonts w:asciiTheme="minorHAnsi" w:hAnsiTheme="minorHAnsi" w:cstheme="minorHAnsi"/>
          <w:b/>
          <w:bCs/>
          <w:noProof/>
        </w:rPr>
        <w:t>113</w:t>
      </w:r>
      <w:r w:rsidRPr="00D57ED5">
        <w:rPr>
          <w:rFonts w:asciiTheme="minorHAnsi" w:hAnsiTheme="minorHAnsi" w:cstheme="minorHAnsi"/>
          <w:noProof/>
        </w:rPr>
        <w:t>, 177–182 (2006).</w:t>
      </w:r>
    </w:p>
    <w:p w14:paraId="69B8E911"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8.</w:t>
      </w:r>
      <w:r w:rsidRPr="00D57ED5">
        <w:rPr>
          <w:rFonts w:asciiTheme="minorHAnsi" w:hAnsiTheme="minorHAnsi" w:cstheme="minorHAnsi"/>
          <w:noProof/>
        </w:rPr>
        <w:tab/>
        <w:t xml:space="preserve">Chiossim, G. Timing of Delivery and Adverse Outcomes in Term Singleton Repeat Cesarean Deliveries. </w:t>
      </w:r>
      <w:r w:rsidRPr="00D57ED5">
        <w:rPr>
          <w:rFonts w:asciiTheme="minorHAnsi" w:hAnsiTheme="minorHAnsi" w:cstheme="minorHAnsi"/>
          <w:i/>
          <w:iCs/>
          <w:noProof/>
        </w:rPr>
        <w:t>Obs Gynecol</w:t>
      </w:r>
      <w:r w:rsidRPr="00D57ED5">
        <w:rPr>
          <w:rFonts w:asciiTheme="minorHAnsi" w:hAnsiTheme="minorHAnsi" w:cstheme="minorHAnsi"/>
          <w:noProof/>
        </w:rPr>
        <w:t xml:space="preserve"> </w:t>
      </w:r>
      <w:r w:rsidRPr="00D57ED5">
        <w:rPr>
          <w:rFonts w:asciiTheme="minorHAnsi" w:hAnsiTheme="minorHAnsi" w:cstheme="minorHAnsi"/>
          <w:b/>
          <w:bCs/>
          <w:noProof/>
        </w:rPr>
        <w:t>121</w:t>
      </w:r>
      <w:r w:rsidRPr="00D57ED5">
        <w:rPr>
          <w:rFonts w:asciiTheme="minorHAnsi" w:hAnsiTheme="minorHAnsi" w:cstheme="minorHAnsi"/>
          <w:noProof/>
        </w:rPr>
        <w:t>, (2013).</w:t>
      </w:r>
    </w:p>
    <w:p w14:paraId="75D22DC7"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9.</w:t>
      </w:r>
      <w:r w:rsidRPr="00D57ED5">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D57ED5">
        <w:rPr>
          <w:rFonts w:asciiTheme="minorHAnsi" w:hAnsiTheme="minorHAnsi" w:cstheme="minorHAnsi"/>
          <w:i/>
          <w:iCs/>
          <w:noProof/>
        </w:rPr>
        <w:t>Am J Obs. Gynecol2</w:t>
      </w:r>
      <w:r w:rsidRPr="00D57ED5">
        <w:rPr>
          <w:rFonts w:asciiTheme="minorHAnsi" w:hAnsiTheme="minorHAnsi" w:cstheme="minorHAnsi"/>
          <w:noProof/>
        </w:rPr>
        <w:t xml:space="preserve"> </w:t>
      </w:r>
      <w:r w:rsidRPr="00D57ED5">
        <w:rPr>
          <w:rFonts w:asciiTheme="minorHAnsi" w:hAnsiTheme="minorHAnsi" w:cstheme="minorHAnsi"/>
          <w:b/>
          <w:bCs/>
          <w:noProof/>
        </w:rPr>
        <w:t>206</w:t>
      </w:r>
      <w:r w:rsidRPr="00D57ED5">
        <w:rPr>
          <w:rFonts w:asciiTheme="minorHAnsi" w:hAnsiTheme="minorHAnsi" w:cstheme="minorHAnsi"/>
          <w:noProof/>
        </w:rPr>
        <w:t>, 148.e1–7 (2012).</w:t>
      </w:r>
    </w:p>
    <w:p w14:paraId="1B332E1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10.</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w:t>
      </w:r>
      <w:bookmarkStart w:id="2" w:name="OLE_LINK1"/>
      <w:bookmarkStart w:id="3" w:name="OLE_LINK2"/>
      <w:r w:rsidRPr="00D57ED5">
        <w:rPr>
          <w:rFonts w:asciiTheme="minorHAnsi" w:hAnsiTheme="minorHAnsi" w:cstheme="minorHAnsi"/>
          <w:noProof/>
        </w:rPr>
        <w:t>Intrapartum risk factors for newborn encephalopathy: the Western Australian case-control study</w:t>
      </w:r>
      <w:bookmarkEnd w:id="2"/>
      <w:bookmarkEnd w:id="3"/>
      <w:r w:rsidRPr="00D57ED5">
        <w:rPr>
          <w:rFonts w:asciiTheme="minorHAnsi" w:hAnsiTheme="minorHAnsi" w:cstheme="minorHAnsi"/>
          <w:noProof/>
        </w:rPr>
        <w:t xml:space="preserve">.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1554–1558 (1998).</w:t>
      </w:r>
    </w:p>
    <w:p w14:paraId="157D146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11.</w:t>
      </w:r>
      <w:r w:rsidRPr="00D57ED5">
        <w:rPr>
          <w:rFonts w:asciiTheme="minorHAnsi" w:hAnsiTheme="minorHAnsi" w:cstheme="minorHAnsi"/>
          <w:noProof/>
        </w:rPr>
        <w:tab/>
        <w:t xml:space="preserve">Gülmezoglu, A., Crowther, C., Middleton, P. &amp; Peatley, E. Induction of labour for improving birth outcomes for women at or beyond term. </w:t>
      </w:r>
      <w:r w:rsidRPr="00D57ED5">
        <w:rPr>
          <w:rFonts w:asciiTheme="minorHAnsi" w:hAnsiTheme="minorHAnsi" w:cstheme="minorHAnsi"/>
          <w:i/>
          <w:iCs/>
          <w:noProof/>
        </w:rPr>
        <w:t>Cochrane Database Syst Rev.</w:t>
      </w:r>
      <w:r w:rsidRPr="00D57ED5">
        <w:rPr>
          <w:rFonts w:asciiTheme="minorHAnsi" w:hAnsiTheme="minorHAnsi" w:cstheme="minorHAnsi"/>
          <w:noProof/>
        </w:rPr>
        <w:t xml:space="preserve"> (2012) doi:10.1002/14651858.CD004945.pub3.</w:t>
      </w:r>
    </w:p>
    <w:p w14:paraId="7A85B080"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12.</w:t>
      </w:r>
      <w:r w:rsidRPr="00D57ED5">
        <w:rPr>
          <w:rFonts w:asciiTheme="minorHAnsi" w:hAnsiTheme="minorHAnsi" w:cstheme="minorHAnsi"/>
          <w:noProof/>
        </w:rPr>
        <w:tab/>
        <w:t xml:space="preserve">Campbell, M. K., Ostbye, T. &amp; Irgens, L. M. Post-term birth: risk factors and outcomes in a 10-year cohort of Norwegian births. </w:t>
      </w:r>
      <w:r w:rsidRPr="00D57ED5">
        <w:rPr>
          <w:rFonts w:asciiTheme="minorHAnsi" w:hAnsiTheme="minorHAnsi" w:cstheme="minorHAnsi"/>
          <w:i/>
          <w:iCs/>
          <w:noProof/>
        </w:rPr>
        <w:t>Obstet. Gynecol.</w:t>
      </w:r>
      <w:r w:rsidRPr="00D57ED5">
        <w:rPr>
          <w:rFonts w:asciiTheme="minorHAnsi" w:hAnsiTheme="minorHAnsi" w:cstheme="minorHAnsi"/>
          <w:noProof/>
        </w:rPr>
        <w:t xml:space="preserve"> </w:t>
      </w:r>
      <w:r w:rsidRPr="00D57ED5">
        <w:rPr>
          <w:rFonts w:asciiTheme="minorHAnsi" w:hAnsiTheme="minorHAnsi" w:cstheme="minorHAnsi"/>
          <w:b/>
          <w:bCs/>
          <w:noProof/>
        </w:rPr>
        <w:t>89</w:t>
      </w:r>
      <w:r w:rsidRPr="00D57ED5">
        <w:rPr>
          <w:rFonts w:asciiTheme="minorHAnsi" w:hAnsiTheme="minorHAnsi" w:cstheme="minorHAnsi"/>
          <w:noProof/>
        </w:rPr>
        <w:t>, 543–548 (1997).</w:t>
      </w:r>
    </w:p>
    <w:p w14:paraId="75D117F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13.</w:t>
      </w:r>
      <w:r w:rsidRPr="00D57ED5">
        <w:rPr>
          <w:rFonts w:asciiTheme="minorHAnsi" w:hAnsiTheme="minorHAnsi" w:cstheme="minorHAnsi"/>
          <w:noProof/>
        </w:rPr>
        <w:tab/>
        <w:t xml:space="preserve">Azzopardi, D. V </w:t>
      </w:r>
      <w:r w:rsidRPr="00D57ED5">
        <w:rPr>
          <w:rFonts w:asciiTheme="minorHAnsi" w:hAnsiTheme="minorHAnsi" w:cstheme="minorHAnsi"/>
          <w:i/>
          <w:iCs/>
          <w:noProof/>
        </w:rPr>
        <w:t>et al.</w:t>
      </w:r>
      <w:r w:rsidRPr="00D57ED5">
        <w:rPr>
          <w:rFonts w:asciiTheme="minorHAnsi" w:hAnsiTheme="minorHAnsi" w:cstheme="minorHAnsi"/>
          <w:noProof/>
        </w:rPr>
        <w:t xml:space="preserve"> Moderate hypothermia to treat perinatal asphyxial encephalopathy. </w:t>
      </w:r>
      <w:r w:rsidRPr="00D57ED5">
        <w:rPr>
          <w:rFonts w:asciiTheme="minorHAnsi" w:hAnsiTheme="minorHAnsi" w:cstheme="minorHAnsi"/>
          <w:i/>
          <w:iCs/>
          <w:noProof/>
        </w:rPr>
        <w:t>N Engl J Med.</w:t>
      </w:r>
      <w:r w:rsidRPr="00D57ED5">
        <w:rPr>
          <w:rFonts w:asciiTheme="minorHAnsi" w:hAnsiTheme="minorHAnsi" w:cstheme="minorHAnsi"/>
          <w:noProof/>
        </w:rPr>
        <w:t xml:space="preserve"> </w:t>
      </w:r>
      <w:r w:rsidRPr="00D57ED5">
        <w:rPr>
          <w:rFonts w:asciiTheme="minorHAnsi" w:hAnsiTheme="minorHAnsi" w:cstheme="minorHAnsi"/>
          <w:b/>
          <w:bCs/>
          <w:noProof/>
        </w:rPr>
        <w:t>361</w:t>
      </w:r>
      <w:r w:rsidRPr="00D57ED5">
        <w:rPr>
          <w:rFonts w:asciiTheme="minorHAnsi" w:hAnsiTheme="minorHAnsi" w:cstheme="minorHAnsi"/>
          <w:noProof/>
        </w:rPr>
        <w:t>, 1349–1358 (2009).</w:t>
      </w:r>
    </w:p>
    <w:p w14:paraId="7190FCC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14.</w:t>
      </w:r>
      <w:r w:rsidRPr="00D57ED5">
        <w:rPr>
          <w:rFonts w:asciiTheme="minorHAnsi" w:hAnsiTheme="minorHAnsi" w:cstheme="minorHAnsi"/>
          <w:noProof/>
        </w:rPr>
        <w:tab/>
        <w:t xml:space="preserve">Odd, D. E., Gunnell, D., Lewis, G. &amp; Rasmussen, F. Long-term Impact of Poor Birth Condition on Social and Economic Outcomes in Early Adulthood. </w:t>
      </w:r>
      <w:r w:rsidRPr="00D57ED5">
        <w:rPr>
          <w:rFonts w:asciiTheme="minorHAnsi" w:hAnsiTheme="minorHAnsi" w:cstheme="minorHAnsi"/>
          <w:i/>
          <w:iCs/>
          <w:noProof/>
        </w:rPr>
        <w:t>Pediatrics</w:t>
      </w:r>
      <w:r w:rsidRPr="00D57ED5">
        <w:rPr>
          <w:rFonts w:asciiTheme="minorHAnsi" w:hAnsiTheme="minorHAnsi" w:cstheme="minorHAnsi"/>
          <w:noProof/>
        </w:rPr>
        <w:t xml:space="preserve"> </w:t>
      </w:r>
      <w:r w:rsidRPr="00D57ED5">
        <w:rPr>
          <w:rFonts w:asciiTheme="minorHAnsi" w:hAnsiTheme="minorHAnsi" w:cstheme="minorHAnsi"/>
          <w:b/>
          <w:bCs/>
          <w:noProof/>
        </w:rPr>
        <w:t>May 9</w:t>
      </w:r>
      <w:r w:rsidRPr="00D57ED5">
        <w:rPr>
          <w:rFonts w:asciiTheme="minorHAnsi" w:hAnsiTheme="minorHAnsi" w:cstheme="minorHAnsi"/>
          <w:noProof/>
        </w:rPr>
        <w:t xml:space="preserve">; </w:t>
      </w:r>
      <w:r w:rsidRPr="00D57ED5">
        <w:rPr>
          <w:rFonts w:asciiTheme="minorHAnsi" w:hAnsiTheme="minorHAnsi" w:cstheme="minorHAnsi"/>
          <w:b/>
          <w:bCs/>
          <w:noProof/>
        </w:rPr>
        <w:t>eFi</w:t>
      </w:r>
      <w:r w:rsidRPr="00D57ED5">
        <w:rPr>
          <w:rFonts w:asciiTheme="minorHAnsi" w:hAnsiTheme="minorHAnsi" w:cstheme="minorHAnsi"/>
          <w:noProof/>
        </w:rPr>
        <w:t>, e1498-504 (2011).</w:t>
      </w:r>
    </w:p>
    <w:p w14:paraId="623E31FC"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15.</w:t>
      </w:r>
      <w:r w:rsidRPr="00D57ED5">
        <w:rPr>
          <w:rFonts w:asciiTheme="minorHAnsi" w:hAnsiTheme="minorHAnsi" w:cstheme="minorHAnsi"/>
          <w:noProof/>
        </w:rPr>
        <w:tab/>
      </w:r>
      <w:r w:rsidRPr="00D57ED5">
        <w:rPr>
          <w:rFonts w:asciiTheme="minorHAnsi" w:hAnsiTheme="minorHAnsi" w:cstheme="minorHAnsi"/>
          <w:i/>
          <w:iCs/>
          <w:noProof/>
        </w:rPr>
        <w:t>Ten Years of Maternity Claims: An Analysis of NHS Litigation Authority Data</w:t>
      </w:r>
      <w:r w:rsidRPr="00D57ED5">
        <w:rPr>
          <w:rFonts w:asciiTheme="minorHAnsi" w:hAnsiTheme="minorHAnsi" w:cstheme="minorHAnsi"/>
          <w:noProof/>
        </w:rPr>
        <w:t>. (2012) doi:978-0-9565019-2-9.</w:t>
      </w:r>
    </w:p>
    <w:p w14:paraId="07108CB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16.</w:t>
      </w:r>
      <w:r w:rsidRPr="00D57ED5">
        <w:rPr>
          <w:rFonts w:asciiTheme="minorHAnsi" w:hAnsiTheme="minorHAnsi" w:cstheme="minorHAnsi"/>
          <w:noProof/>
        </w:rPr>
        <w:tab/>
        <w:t xml:space="preserve">Murray, C. J. L. </w:t>
      </w:r>
      <w:r w:rsidRPr="00D57ED5">
        <w:rPr>
          <w:rFonts w:asciiTheme="minorHAnsi" w:hAnsiTheme="minorHAnsi" w:cstheme="minorHAnsi"/>
          <w:i/>
          <w:iCs/>
          <w:noProof/>
        </w:rPr>
        <w:t>et al.</w:t>
      </w:r>
      <w:r w:rsidRPr="00D57ED5">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D57ED5">
        <w:rPr>
          <w:rFonts w:asciiTheme="minorHAnsi" w:hAnsiTheme="minorHAnsi" w:cstheme="minorHAnsi"/>
          <w:i/>
          <w:iCs/>
          <w:noProof/>
        </w:rPr>
        <w:t>Lancet (London, England)</w:t>
      </w:r>
      <w:r w:rsidRPr="00D57ED5">
        <w:rPr>
          <w:rFonts w:asciiTheme="minorHAnsi" w:hAnsiTheme="minorHAnsi" w:cstheme="minorHAnsi"/>
          <w:noProof/>
        </w:rPr>
        <w:t xml:space="preserve"> </w:t>
      </w:r>
      <w:r w:rsidRPr="00D57ED5">
        <w:rPr>
          <w:rFonts w:asciiTheme="minorHAnsi" w:hAnsiTheme="minorHAnsi" w:cstheme="minorHAnsi"/>
          <w:b/>
          <w:bCs/>
          <w:noProof/>
        </w:rPr>
        <w:t>380</w:t>
      </w:r>
      <w:r w:rsidRPr="00D57ED5">
        <w:rPr>
          <w:rFonts w:asciiTheme="minorHAnsi" w:hAnsiTheme="minorHAnsi" w:cstheme="minorHAnsi"/>
          <w:noProof/>
        </w:rPr>
        <w:t>, 2197–2223 (2012).</w:t>
      </w:r>
    </w:p>
    <w:p w14:paraId="20F2AE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17.</w:t>
      </w:r>
      <w:r w:rsidRPr="00D57ED5">
        <w:rPr>
          <w:rFonts w:asciiTheme="minorHAnsi" w:hAnsiTheme="minorHAnsi" w:cstheme="minorHAnsi"/>
          <w:noProof/>
        </w:rPr>
        <w:tab/>
        <w:t xml:space="preserve">Odd, D. E., Lewis, G., Whitelaw, A. &amp; Gunnell, D.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373</w:t>
      </w:r>
      <w:r w:rsidRPr="00D57ED5">
        <w:rPr>
          <w:rFonts w:asciiTheme="minorHAnsi" w:hAnsiTheme="minorHAnsi" w:cstheme="minorHAnsi"/>
          <w:noProof/>
        </w:rPr>
        <w:t>, 1615–22 (2009).</w:t>
      </w:r>
    </w:p>
    <w:p w14:paraId="19199D8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18.</w:t>
      </w:r>
      <w:r w:rsidRPr="00D57ED5">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D57ED5">
        <w:rPr>
          <w:rFonts w:asciiTheme="minorHAnsi" w:hAnsiTheme="minorHAnsi" w:cstheme="minorHAnsi"/>
          <w:i/>
          <w:iCs/>
          <w:noProof/>
        </w:rPr>
        <w:t>Arch Dis Child</w:t>
      </w:r>
      <w:r w:rsidRPr="00D57ED5">
        <w:rPr>
          <w:rFonts w:asciiTheme="minorHAnsi" w:hAnsiTheme="minorHAnsi" w:cstheme="minorHAnsi"/>
          <w:noProof/>
        </w:rPr>
        <w:t xml:space="preserve"> (2010).</w:t>
      </w:r>
    </w:p>
    <w:p w14:paraId="06BD24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19.</w:t>
      </w:r>
      <w:r w:rsidRPr="00D57ED5">
        <w:rPr>
          <w:rFonts w:asciiTheme="minorHAnsi" w:hAnsiTheme="minorHAnsi" w:cstheme="minorHAnsi"/>
          <w:noProof/>
        </w:rPr>
        <w:tab/>
        <w:t xml:space="preserve">Odd, D. E., Rasmussen, F., Gunnell, D. J., Lewis, G. &amp; Whitelaw, A. A Cohort Study of Low Apgar Scores and Cognitive Outcomes. </w:t>
      </w:r>
      <w:r w:rsidRPr="00D57ED5">
        <w:rPr>
          <w:rFonts w:asciiTheme="minorHAnsi" w:hAnsiTheme="minorHAnsi" w:cstheme="minorHAnsi"/>
          <w:i/>
          <w:iCs/>
          <w:noProof/>
        </w:rPr>
        <w:t>Arch Dis Child Fetal Neonatal Ed</w:t>
      </w:r>
      <w:r w:rsidRPr="00D57ED5">
        <w:rPr>
          <w:rFonts w:asciiTheme="minorHAnsi" w:hAnsiTheme="minorHAnsi" w:cstheme="minorHAnsi"/>
          <w:noProof/>
        </w:rPr>
        <w:t xml:space="preserve"> </w:t>
      </w:r>
      <w:r w:rsidRPr="00D57ED5">
        <w:rPr>
          <w:rFonts w:asciiTheme="minorHAnsi" w:hAnsiTheme="minorHAnsi" w:cstheme="minorHAnsi"/>
          <w:b/>
          <w:bCs/>
          <w:noProof/>
        </w:rPr>
        <w:t>93</w:t>
      </w:r>
      <w:r w:rsidRPr="00D57ED5">
        <w:rPr>
          <w:rFonts w:asciiTheme="minorHAnsi" w:hAnsiTheme="minorHAnsi" w:cstheme="minorHAnsi"/>
          <w:noProof/>
        </w:rPr>
        <w:t>, F115-20 (2008).</w:t>
      </w:r>
    </w:p>
    <w:p w14:paraId="212A4D8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20.</w:t>
      </w:r>
      <w:r w:rsidRPr="00D57ED5">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D57ED5">
        <w:rPr>
          <w:rFonts w:asciiTheme="minorHAnsi" w:hAnsiTheme="minorHAnsi" w:cstheme="minorHAnsi"/>
          <w:i/>
          <w:iCs/>
          <w:noProof/>
        </w:rPr>
        <w:t>Can Med Assoc J</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1445–50. (1995).</w:t>
      </w:r>
    </w:p>
    <w:p w14:paraId="6EECD9CE"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21.</w:t>
      </w:r>
      <w:r w:rsidRPr="00D57ED5">
        <w:rPr>
          <w:rFonts w:asciiTheme="minorHAnsi" w:hAnsiTheme="minorHAnsi" w:cstheme="minorHAnsi"/>
          <w:noProof/>
        </w:rPr>
        <w:tab/>
        <w:t xml:space="preserve">Molina, G. </w:t>
      </w:r>
      <w:r w:rsidRPr="00D57ED5">
        <w:rPr>
          <w:rFonts w:asciiTheme="minorHAnsi" w:hAnsiTheme="minorHAnsi" w:cstheme="minorHAnsi"/>
          <w:i/>
          <w:iCs/>
          <w:noProof/>
        </w:rPr>
        <w:t>et al.</w:t>
      </w:r>
      <w:r w:rsidRPr="00D57ED5">
        <w:rPr>
          <w:rFonts w:asciiTheme="minorHAnsi" w:hAnsiTheme="minorHAnsi" w:cstheme="minorHAnsi"/>
          <w:noProof/>
        </w:rPr>
        <w:t xml:space="preserve"> Relationship Between Cesarean Delivery Rate and Maternal and Neonatal Mortality. </w:t>
      </w:r>
      <w:r w:rsidRPr="00D57ED5">
        <w:rPr>
          <w:rFonts w:asciiTheme="minorHAnsi" w:hAnsiTheme="minorHAnsi" w:cstheme="minorHAnsi"/>
          <w:i/>
          <w:iCs/>
          <w:noProof/>
        </w:rPr>
        <w:t>JAMA</w:t>
      </w:r>
      <w:r w:rsidRPr="00D57ED5">
        <w:rPr>
          <w:rFonts w:asciiTheme="minorHAnsi" w:hAnsiTheme="minorHAnsi" w:cstheme="minorHAnsi"/>
          <w:noProof/>
        </w:rPr>
        <w:t xml:space="preserve"> </w:t>
      </w:r>
      <w:r w:rsidRPr="00D57ED5">
        <w:rPr>
          <w:rFonts w:asciiTheme="minorHAnsi" w:hAnsiTheme="minorHAnsi" w:cstheme="minorHAnsi"/>
          <w:b/>
          <w:bCs/>
          <w:noProof/>
        </w:rPr>
        <w:t>314</w:t>
      </w:r>
      <w:r w:rsidRPr="00D57ED5">
        <w:rPr>
          <w:rFonts w:asciiTheme="minorHAnsi" w:hAnsiTheme="minorHAnsi" w:cstheme="minorHAnsi"/>
          <w:noProof/>
        </w:rPr>
        <w:t>, 2263–2270 (2015).</w:t>
      </w:r>
    </w:p>
    <w:p w14:paraId="0F6CA2A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22.</w:t>
      </w:r>
      <w:r w:rsidRPr="00D57ED5">
        <w:rPr>
          <w:rFonts w:asciiTheme="minorHAnsi" w:hAnsiTheme="minorHAnsi" w:cstheme="minorHAnsi"/>
          <w:noProof/>
        </w:rPr>
        <w:tab/>
        <w:t xml:space="preserve">Induction of labour. </w:t>
      </w:r>
      <w:r w:rsidRPr="00D57ED5">
        <w:rPr>
          <w:rFonts w:asciiTheme="minorHAnsi" w:hAnsiTheme="minorHAnsi" w:cstheme="minorHAnsi"/>
          <w:i/>
          <w:iCs/>
          <w:noProof/>
        </w:rPr>
        <w:t>NICE Clin. Guidel. (July 2008)</w:t>
      </w:r>
      <w:r w:rsidRPr="00D57ED5">
        <w:rPr>
          <w:rFonts w:asciiTheme="minorHAnsi" w:hAnsiTheme="minorHAnsi" w:cstheme="minorHAnsi"/>
          <w:noProof/>
        </w:rPr>
        <w:t>.</w:t>
      </w:r>
    </w:p>
    <w:p w14:paraId="55A8D362"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23.</w:t>
      </w:r>
      <w:r w:rsidRPr="00D57ED5">
        <w:rPr>
          <w:rFonts w:asciiTheme="minorHAnsi" w:hAnsiTheme="minorHAnsi" w:cstheme="minorHAnsi"/>
          <w:noProof/>
        </w:rPr>
        <w:tab/>
        <w:t>National Institute for Health and Clinical Excellence (NICE). Inducing labour (CG70). (2008).</w:t>
      </w:r>
    </w:p>
    <w:p w14:paraId="48C233F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24.</w:t>
      </w:r>
      <w:r w:rsidRPr="00D57ED5">
        <w:rPr>
          <w:rFonts w:asciiTheme="minorHAnsi" w:hAnsiTheme="minorHAnsi" w:cstheme="minorHAnsi"/>
          <w:noProof/>
        </w:rPr>
        <w:tab/>
        <w:t xml:space="preserve">Hardy, J. B. The Johns Hopkins Collaborative Perinatal Project. Descriptive background. </w:t>
      </w:r>
      <w:r w:rsidRPr="00D57ED5">
        <w:rPr>
          <w:rFonts w:asciiTheme="minorHAnsi" w:hAnsiTheme="minorHAnsi" w:cstheme="minorHAnsi"/>
          <w:i/>
          <w:iCs/>
          <w:noProof/>
        </w:rPr>
        <w:t>Johns Hopkins Med. J.</w:t>
      </w:r>
      <w:r w:rsidRPr="00D57ED5">
        <w:rPr>
          <w:rFonts w:asciiTheme="minorHAnsi" w:hAnsiTheme="minorHAnsi" w:cstheme="minorHAnsi"/>
          <w:noProof/>
        </w:rPr>
        <w:t xml:space="preserve"> </w:t>
      </w:r>
      <w:r w:rsidRPr="00D57ED5">
        <w:rPr>
          <w:rFonts w:asciiTheme="minorHAnsi" w:hAnsiTheme="minorHAnsi" w:cstheme="minorHAnsi"/>
          <w:b/>
          <w:bCs/>
          <w:noProof/>
        </w:rPr>
        <w:t>128</w:t>
      </w:r>
      <w:r w:rsidRPr="00D57ED5">
        <w:rPr>
          <w:rFonts w:asciiTheme="minorHAnsi" w:hAnsiTheme="minorHAnsi" w:cstheme="minorHAnsi"/>
          <w:noProof/>
        </w:rPr>
        <w:t>, 238–243 (1971).</w:t>
      </w:r>
    </w:p>
    <w:p w14:paraId="5D504AA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25.</w:t>
      </w:r>
      <w:r w:rsidRPr="00D57ED5">
        <w:rPr>
          <w:rFonts w:asciiTheme="minorHAnsi" w:hAnsiTheme="minorHAnsi" w:cstheme="minorHAnsi"/>
          <w:noProof/>
        </w:rPr>
        <w:tab/>
        <w:t xml:space="preserve">Niswander, K. &amp; Gordon, M. T. </w:t>
      </w:r>
      <w:r w:rsidRPr="00D57ED5">
        <w:rPr>
          <w:rFonts w:asciiTheme="minorHAnsi" w:hAnsiTheme="minorHAnsi" w:cstheme="minorHAnsi"/>
          <w:i/>
          <w:iCs/>
          <w:noProof/>
        </w:rPr>
        <w:t>The Women and Their Pregnancies: The Collaborative Perinatal Study of the NINDS</w:t>
      </w:r>
      <w:r w:rsidRPr="00D57ED5">
        <w:rPr>
          <w:rFonts w:asciiTheme="minorHAnsi" w:hAnsiTheme="minorHAnsi" w:cstheme="minorHAnsi"/>
          <w:noProof/>
        </w:rPr>
        <w:t>. (USGov. Printing Press, 1972).</w:t>
      </w:r>
    </w:p>
    <w:p w14:paraId="6C4C737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26.</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Antepartum risk factors for newborn encephalopathy: the Western Australian case-control study.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1549–1553 (1998).</w:t>
      </w:r>
    </w:p>
    <w:p w14:paraId="4BF62F5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27.</w:t>
      </w:r>
      <w:r w:rsidRPr="00D57ED5">
        <w:rPr>
          <w:rFonts w:asciiTheme="minorHAnsi" w:hAnsiTheme="minorHAnsi" w:cstheme="minorHAnsi"/>
          <w:noProof/>
        </w:rPr>
        <w:tab/>
        <w:t xml:space="preserve">Odd, D., Lewis, G., Whitelaw, A. &amp; Gunnell, D. J.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1615–1622 (2009).</w:t>
      </w:r>
    </w:p>
    <w:p w14:paraId="3E82DC5F" w14:textId="77777777" w:rsidR="00932424" w:rsidRPr="00D57ED5"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D57ED5">
        <w:rPr>
          <w:rFonts w:asciiTheme="minorHAnsi" w:hAnsiTheme="minorHAnsi" w:cstheme="minorHAnsi"/>
          <w:b/>
        </w:rPr>
        <w:fldChar w:fldCharType="end"/>
      </w:r>
    </w:p>
    <w:p w14:paraId="3D4CF217" w14:textId="77777777" w:rsidR="00932424" w:rsidRPr="00D57ED5" w:rsidRDefault="00932424">
      <w:pPr>
        <w:rPr>
          <w:rFonts w:asciiTheme="minorHAnsi" w:hAnsiTheme="minorHAnsi" w:cstheme="minorHAnsi"/>
          <w:b/>
        </w:rPr>
      </w:pPr>
      <w:r w:rsidRPr="00D57ED5">
        <w:rPr>
          <w:rFonts w:asciiTheme="minorHAnsi" w:hAnsiTheme="minorHAnsi" w:cstheme="minorHAnsi"/>
          <w:b/>
        </w:rPr>
        <w:br w:type="page"/>
      </w:r>
    </w:p>
    <w:sectPr w:rsidR="00932424" w:rsidRPr="00D57ED5"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12-15T20:15:00Z" w:initials="DO">
    <w:p w14:paraId="4145ECBB" w14:textId="5A50573A" w:rsidR="00DE74E0" w:rsidRDefault="00DE74E0">
      <w:pPr>
        <w:pStyle w:val="CommentText"/>
      </w:pPr>
      <w:r>
        <w:rPr>
          <w:rStyle w:val="CommentReference"/>
        </w:rPr>
        <w:annotationRef/>
      </w:r>
      <w:r>
        <w:t xml:space="preserve">This is just from the conventional and the </w:t>
      </w:r>
      <w:proofErr w:type="spellStart"/>
      <w:r>
        <w:t>AutoML</w:t>
      </w:r>
      <w:proofErr w:type="spellEnd"/>
      <w:r>
        <w:t xml:space="preserve"> analysis. I assume you have similar number – can you work it out?</w:t>
      </w:r>
    </w:p>
  </w:comment>
  <w:comment w:id="1" w:author="Matt Lyon" w:date="2021-01-08T15:09:00Z" w:initials="ML">
    <w:p w14:paraId="463D1893" w14:textId="5DE476BB" w:rsidR="00DE74E0" w:rsidRDefault="00DE74E0">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45ECBB" w15:done="0"/>
  <w15:commentEx w15:paraId="463D18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97DD" w16cex:dateUtc="2020-12-15T20:15:00Z"/>
  <w16cex:commentExtensible w16cex:durableId="23A2F446" w16cex:dateUtc="2021-01-08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45ECBB" w16cid:durableId="238397DD"/>
  <w16cid:commentId w16cid:paraId="463D1893" w16cid:durableId="23A2F4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4DAC3" w14:textId="77777777" w:rsidR="00AE14D3" w:rsidRDefault="00AE14D3" w:rsidP="00C54F0F">
      <w:r>
        <w:separator/>
      </w:r>
    </w:p>
  </w:endnote>
  <w:endnote w:type="continuationSeparator" w:id="0">
    <w:p w14:paraId="080BD60B" w14:textId="77777777" w:rsidR="00AE14D3" w:rsidRDefault="00AE14D3"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4B664" w14:textId="77777777" w:rsidR="00AE14D3" w:rsidRDefault="00AE14D3" w:rsidP="00C54F0F">
      <w:r>
        <w:separator/>
      </w:r>
    </w:p>
  </w:footnote>
  <w:footnote w:type="continuationSeparator" w:id="0">
    <w:p w14:paraId="6174E30A" w14:textId="77777777" w:rsidR="00AE14D3" w:rsidRDefault="00AE14D3"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Odd">
    <w15:presenceInfo w15:providerId="AD" w15:userId="S::mddeo@bristol.ac.uk::a0769dc0-e772-4967-a82e-b222c8dd2af7"/>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4BD5"/>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474C"/>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718"/>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0AFC"/>
    <w:rsid w:val="003D3EC6"/>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2E9"/>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0266"/>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C7649"/>
    <w:rsid w:val="00AD01E5"/>
    <w:rsid w:val="00AD1ED1"/>
    <w:rsid w:val="00AD2617"/>
    <w:rsid w:val="00AD4680"/>
    <w:rsid w:val="00AD727A"/>
    <w:rsid w:val="00AE14D3"/>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18CA"/>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1DCB"/>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57D"/>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13584</Words>
  <Characters>77432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90835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57</cp:revision>
  <cp:lastPrinted>2020-01-16T12:50:00Z</cp:lastPrinted>
  <dcterms:created xsi:type="dcterms:W3CDTF">2021-01-08T14:41:00Z</dcterms:created>
  <dcterms:modified xsi:type="dcterms:W3CDTF">2021-03-12T14:58:00Z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