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5D15C" w14:textId="0B7FA66C" w:rsidR="00A101B1" w:rsidRPr="0007601D" w:rsidRDefault="00A101B1" w:rsidP="00264A93">
      <w:pPr>
        <w:pStyle w:val="Heading1"/>
      </w:pPr>
      <w:r w:rsidRPr="0007601D">
        <w:t xml:space="preserve">Case Study </w:t>
      </w:r>
      <w:r w:rsidR="00CC5B93">
        <w:t xml:space="preserve">2: </w:t>
      </w:r>
      <w:r w:rsidR="0087589A">
        <w:t>Systolic blood pressure and coronary heart disease</w:t>
      </w:r>
    </w:p>
    <w:p w14:paraId="5093E172" w14:textId="69C93B66" w:rsidR="0007601D" w:rsidRDefault="0007601D" w:rsidP="00264A93">
      <w:pPr>
        <w:pStyle w:val="ListParagraph"/>
      </w:pPr>
    </w:p>
    <w:p w14:paraId="67F8B110" w14:textId="6E03B94B" w:rsidR="0007601D" w:rsidRPr="00264A93" w:rsidRDefault="0007601D" w:rsidP="00264A93">
      <w:r w:rsidRPr="00264A93">
        <w:t xml:space="preserve">This </w:t>
      </w:r>
      <w:r w:rsidR="0087589A" w:rsidRPr="00F54C83">
        <w:t xml:space="preserve">case study </w:t>
      </w:r>
      <w:r w:rsidR="0087589A">
        <w:t xml:space="preserve">demonstrates how MR-Base can be used to conduct sensitivity analyses and triangulate evidence. It is based on work by </w:t>
      </w:r>
      <w:proofErr w:type="spellStart"/>
      <w:r w:rsidR="0087589A">
        <w:t>Ference</w:t>
      </w:r>
      <w:proofErr w:type="spellEnd"/>
      <w:r w:rsidR="0087589A">
        <w:t xml:space="preserve"> et al that examined the effect of systolic blood pressure on coronary heart disease</w:t>
      </w:r>
      <w:r w:rsidRPr="00264A93">
        <w:t xml:space="preserve">. </w:t>
      </w:r>
      <w:r w:rsidR="0029049C">
        <w:fldChar w:fldCharType="begin"/>
      </w:r>
      <w:r w:rsidR="00DF7917">
        <w:instrText xml:space="preserve"> ADDIN ZOTERO_ITEM CSL_CITATION {"citationID":"aa0tg2e1d1","properties":{"formattedCitation":"[1]","plainCitation":"[1]"},"citationItems":[{"id":1280,"uris":["http://zotero.org/users/2782891/items/EXFT7IW2"],"uri":["http://zotero.org/users/2782891/items/EXFT7IW2"],"itemData":{"id":1280,"type":"article-journal","title":"Clinical effect of naturally random allocation to lower systolic blood pressure beginning before the development of hypertension","container-title":"Hypertension","page":"1182-1188","volume":"63","issue":"6","source":"PubMed","abstract":"Systolic blood pressure (SBP) rises approximately linearly with age in most societies. The cause of this rise is unclear. We tested the hypothesis that SBP is causally associated with the rate of rise in SBP with age by evaluating the effect of 12 polymorphisms associated with lower SBP on the age-related rate of rise in SBP in a series of meta-regression analyses involving ≤199 477 participants in 63 studies. We then evaluated the effect of these polymorphisms on the odds of coronary heart disease in 22,223 case and 64,762 control subjects and compared it with the effect of lower SBP observed in both prospective cohort studies and blood pressure-lowering randomized trials. All 12 polymorphisms were associated with both lower SBP and a slower age-related rise in SBP. The weighted mean effect of these 12 polymorphisms was associated with a 0.32-mm Hg lower SBP (P=1.79×10(-7)) and a 0.093-mm Hg/decade slower age-related rise in SBP (P=3.05×10(-5)). The effect of long-term exposure to lower SBP on coronary heart disease mediated by these polymorphisms was 2-fold greater than that observed in prospective cohort studies (P=0.006) and 3-fold greater than that observed in short-term blood pressure treatment trials (P=0.001). We conclude therefore that SBP seems to be causally associated with the rate of rise in SBP with age and has a cumulative effect on the risk of coronary heart disease.","DOI":"10.1161/HYPERTENSIONAHA.113.02734","ISSN":"1524-4563","note":"PMID: 24591335","journalAbbreviation":"Hypertension","language":"eng","author":[{"family":"Ference","given":"Brian A."},{"family":"Julius","given":"Stevo"},{"family":"Mahajan","given":"Nitin"},{"family":"Levy","given":"Phillip D."},{"family":"Williams","given":"Kim Allan"},{"family":"Flack","given":"John M."}],"issued":{"date-parts":[["2014",6]]}}}],"schema":"https://github.com/citation-style-language/schema/raw/master/csl-citation.json"} </w:instrText>
      </w:r>
      <w:r w:rsidR="0029049C">
        <w:fldChar w:fldCharType="separate"/>
      </w:r>
      <w:r w:rsidR="0029049C" w:rsidRPr="0029049C">
        <w:rPr>
          <w:rFonts w:ascii="Calibri Light" w:hAnsi="Calibri Light"/>
        </w:rPr>
        <w:t>[1]</w:t>
      </w:r>
      <w:r w:rsidR="0029049C">
        <w:fldChar w:fldCharType="end"/>
      </w:r>
    </w:p>
    <w:p w14:paraId="00FC3D32" w14:textId="77777777" w:rsidR="0007601D" w:rsidRDefault="0007601D" w:rsidP="00264A93">
      <w:pPr>
        <w:pStyle w:val="ListParagraph"/>
      </w:pPr>
    </w:p>
    <w:p w14:paraId="6AF24D43" w14:textId="4252B814" w:rsidR="0007601D" w:rsidRPr="007E4EB9" w:rsidRDefault="0007601D" w:rsidP="00264A93">
      <w:pPr>
        <w:pStyle w:val="Heading2"/>
      </w:pPr>
      <w:r w:rsidRPr="007E4EB9">
        <w:t>Methods</w:t>
      </w:r>
    </w:p>
    <w:p w14:paraId="27E66D5B" w14:textId="77777777" w:rsidR="0007601D" w:rsidRDefault="0007601D" w:rsidP="00264A93">
      <w:pPr>
        <w:pStyle w:val="ListParagraph"/>
      </w:pPr>
    </w:p>
    <w:p w14:paraId="637DED84" w14:textId="77777777" w:rsidR="00D30087" w:rsidRDefault="00D30087" w:rsidP="00264A93">
      <w:pPr>
        <w:pStyle w:val="ListParagraph"/>
        <w:numPr>
          <w:ilvl w:val="0"/>
          <w:numId w:val="5"/>
        </w:numPr>
      </w:pPr>
      <w:r>
        <w:t>Access the platform (</w:t>
      </w:r>
      <w:hyperlink r:id="rId5" w:history="1">
        <w:r w:rsidRPr="009D4D96">
          <w:rPr>
            <w:rStyle w:val="Hyperlink"/>
          </w:rPr>
          <w:t>http://mrbase.org</w:t>
        </w:r>
      </w:hyperlink>
      <w:r>
        <w:t>) and sign the data access agreement using a Google account.</w:t>
      </w:r>
    </w:p>
    <w:p w14:paraId="3B55BAC8" w14:textId="77777777" w:rsidR="00D30087" w:rsidRPr="00D30087" w:rsidRDefault="00D30087" w:rsidP="00264A93">
      <w:pPr>
        <w:pStyle w:val="ListParagraph"/>
      </w:pPr>
    </w:p>
    <w:p w14:paraId="2B53E90B" w14:textId="4BCC7337" w:rsidR="00A101B1" w:rsidRPr="00D30087" w:rsidRDefault="00D30087" w:rsidP="00264A93">
      <w:pPr>
        <w:pStyle w:val="ListParagraph"/>
        <w:numPr>
          <w:ilvl w:val="0"/>
          <w:numId w:val="5"/>
        </w:numPr>
      </w:pPr>
      <w:r w:rsidRPr="00D30087">
        <w:t>Define the exposure by selecting the following</w:t>
      </w:r>
      <w:r w:rsidR="0051667D" w:rsidRPr="00D30087">
        <w:t xml:space="preserve"> from the MR-Base GWAS </w:t>
      </w:r>
      <w:proofErr w:type="spellStart"/>
      <w:r w:rsidR="0051667D" w:rsidRPr="00D30087">
        <w:t>catalog</w:t>
      </w:r>
      <w:proofErr w:type="spellEnd"/>
      <w:r w:rsidR="0051667D" w:rsidRPr="00D30087">
        <w:t>. Specify the p-value threshold to be ‘5e-0</w:t>
      </w:r>
      <w:r w:rsidR="00CC5B93">
        <w:t>8</w:t>
      </w:r>
      <w:r w:rsidR="0051667D" w:rsidRPr="00D30087">
        <w:t xml:space="preserve">’ and ensure ‘Perform clumping’ is ticked with </w:t>
      </w:r>
      <w:r w:rsidR="0007601D">
        <w:t>the LD R squared value</w:t>
      </w:r>
      <w:r w:rsidR="0051667D" w:rsidRPr="00D30087">
        <w:t xml:space="preserve"> set to 0.</w:t>
      </w:r>
      <w:r w:rsidR="0087589A">
        <w:t>0</w:t>
      </w:r>
      <w:r w:rsidR="0051667D" w:rsidRPr="00D30087">
        <w:t>01 and clumping distance set to 10000kb.</w:t>
      </w:r>
    </w:p>
    <w:p w14:paraId="2BF853F6" w14:textId="22144E72" w:rsidR="00164128" w:rsidRDefault="00164128" w:rsidP="0087589A"/>
    <w:tbl>
      <w:tblPr>
        <w:tblStyle w:val="TableGrid"/>
        <w:tblW w:w="5000" w:type="pct"/>
        <w:tblLayout w:type="fixed"/>
        <w:tblLook w:val="04A0" w:firstRow="1" w:lastRow="0" w:firstColumn="1" w:lastColumn="0" w:noHBand="0" w:noVBand="1"/>
      </w:tblPr>
      <w:tblGrid>
        <w:gridCol w:w="848"/>
        <w:gridCol w:w="2269"/>
        <w:gridCol w:w="1982"/>
        <w:gridCol w:w="1562"/>
        <w:gridCol w:w="1133"/>
        <w:gridCol w:w="1276"/>
        <w:gridCol w:w="1386"/>
      </w:tblGrid>
      <w:tr w:rsidR="0087589A" w:rsidRPr="00164128" w14:paraId="42626219" w14:textId="77777777" w:rsidTr="0087589A">
        <w:tc>
          <w:tcPr>
            <w:tcW w:w="405" w:type="pct"/>
            <w:vAlign w:val="center"/>
          </w:tcPr>
          <w:p w14:paraId="2583ECF7" w14:textId="77777777" w:rsidR="0087589A" w:rsidRPr="00164128" w:rsidRDefault="0087589A" w:rsidP="00704728">
            <w:r w:rsidRPr="00164128">
              <w:t>ID</w:t>
            </w:r>
          </w:p>
        </w:tc>
        <w:tc>
          <w:tcPr>
            <w:tcW w:w="1085" w:type="pct"/>
            <w:vAlign w:val="center"/>
          </w:tcPr>
          <w:p w14:paraId="512696F2" w14:textId="77777777" w:rsidR="0087589A" w:rsidRPr="00164128" w:rsidRDefault="0087589A" w:rsidP="00704728">
            <w:r w:rsidRPr="00164128">
              <w:t>Variable</w:t>
            </w:r>
          </w:p>
        </w:tc>
        <w:tc>
          <w:tcPr>
            <w:tcW w:w="948" w:type="pct"/>
            <w:vAlign w:val="center"/>
          </w:tcPr>
          <w:p w14:paraId="5079AC3D" w14:textId="77777777" w:rsidR="0087589A" w:rsidRPr="00164128" w:rsidRDefault="0087589A" w:rsidP="00704728">
            <w:r w:rsidRPr="00164128">
              <w:t>First author (year)</w:t>
            </w:r>
          </w:p>
        </w:tc>
        <w:tc>
          <w:tcPr>
            <w:tcW w:w="747" w:type="pct"/>
            <w:vAlign w:val="center"/>
          </w:tcPr>
          <w:p w14:paraId="66D17055" w14:textId="77777777" w:rsidR="0087589A" w:rsidRPr="00164128" w:rsidRDefault="0087589A" w:rsidP="00704728">
            <w:r w:rsidRPr="00164128">
              <w:t>Consortium</w:t>
            </w:r>
          </w:p>
        </w:tc>
        <w:tc>
          <w:tcPr>
            <w:tcW w:w="542" w:type="pct"/>
            <w:vAlign w:val="center"/>
          </w:tcPr>
          <w:p w14:paraId="0BCF545C" w14:textId="77777777" w:rsidR="0087589A" w:rsidRPr="00164128" w:rsidRDefault="0087589A" w:rsidP="00704728">
            <w:r w:rsidRPr="00164128">
              <w:t>Sample size</w:t>
            </w:r>
          </w:p>
        </w:tc>
        <w:tc>
          <w:tcPr>
            <w:tcW w:w="610" w:type="pct"/>
            <w:vAlign w:val="center"/>
          </w:tcPr>
          <w:p w14:paraId="2BE3FAFB" w14:textId="77777777" w:rsidR="0087589A" w:rsidRPr="00164128" w:rsidRDefault="0087589A" w:rsidP="00704728">
            <w:r w:rsidRPr="00164128">
              <w:t>Population</w:t>
            </w:r>
          </w:p>
        </w:tc>
        <w:tc>
          <w:tcPr>
            <w:tcW w:w="663" w:type="pct"/>
            <w:vAlign w:val="center"/>
          </w:tcPr>
          <w:p w14:paraId="64203371" w14:textId="77777777" w:rsidR="0087589A" w:rsidRPr="00164128" w:rsidRDefault="0087589A" w:rsidP="00704728">
            <w:r w:rsidRPr="00164128">
              <w:t>Sex</w:t>
            </w:r>
          </w:p>
        </w:tc>
      </w:tr>
      <w:tr w:rsidR="0087589A" w:rsidRPr="00164128" w14:paraId="1202CD74" w14:textId="77777777" w:rsidTr="0087589A">
        <w:tc>
          <w:tcPr>
            <w:tcW w:w="405" w:type="pct"/>
            <w:vAlign w:val="center"/>
          </w:tcPr>
          <w:p w14:paraId="535A3013" w14:textId="046C916D" w:rsidR="0087589A" w:rsidRPr="00164128" w:rsidRDefault="0087589A" w:rsidP="0087589A">
            <w:r>
              <w:t>UKB-a:360</w:t>
            </w:r>
          </w:p>
        </w:tc>
        <w:tc>
          <w:tcPr>
            <w:tcW w:w="1085" w:type="pct"/>
            <w:vAlign w:val="center"/>
          </w:tcPr>
          <w:p w14:paraId="45F31E52" w14:textId="120EF628" w:rsidR="0087589A" w:rsidRPr="00164128" w:rsidRDefault="0087589A" w:rsidP="0087589A">
            <w:r>
              <w:rPr>
                <w:rFonts w:ascii="Source Sans Pro" w:hAnsi="Source Sans Pro"/>
                <w:color w:val="333333"/>
                <w:sz w:val="21"/>
                <w:szCs w:val="21"/>
                <w:shd w:val="clear" w:color="auto" w:fill="FFFFFF"/>
              </w:rPr>
              <w:t>Systolic blood pressure automated reading</w:t>
            </w:r>
          </w:p>
        </w:tc>
        <w:tc>
          <w:tcPr>
            <w:tcW w:w="948" w:type="pct"/>
            <w:vAlign w:val="center"/>
          </w:tcPr>
          <w:p w14:paraId="1ADF0C54" w14:textId="19E50CAD" w:rsidR="0087589A" w:rsidRPr="00164128" w:rsidRDefault="0087589A" w:rsidP="0087589A">
            <w:r>
              <w:t xml:space="preserve">Neale (2017) </w:t>
            </w:r>
            <w:r>
              <w:fldChar w:fldCharType="begin"/>
            </w:r>
            <w:r w:rsidR="0029049C">
              <w:instrText xml:space="preserve"> ADDIN ZOTERO_ITEM CSL_CITATION {"citationID":"a1ilcavqu40","properties":{"formattedCitation":"[2]","plainCitation":"[2]"},"citationItems":[{"id":2303,"uris":["http://zotero.org/users/2782891/items/JV8239H3"],"uri":["http://zotero.org/users/2782891/items/JV8239H3"],"itemData":{"id":2303,"type":"webpage","title":"Rapid GWAS of thousands of phenotypes for 337,000 samples in the UK Biobank","container-title":"Neale lab","abstract":"Start by reading this post for an overview on the analyses we ran on the UK Biobank data.","URL":"http://www.nealelab.is/blog/2017/7/19/rapid-gwas-of-thousands-of-phenotypes-for-337000-samples-in-the-uk-biobank","language":"en-US","accessed":{"date-parts":[["2018",8,1]]}}}],"schema":"https://github.com/citation-style-language/schema/raw/master/csl-citation.json"} </w:instrText>
            </w:r>
            <w:r>
              <w:fldChar w:fldCharType="separate"/>
            </w:r>
            <w:r w:rsidR="0029049C" w:rsidRPr="0029049C">
              <w:rPr>
                <w:rFonts w:ascii="Calibri Light" w:hAnsi="Calibri Light"/>
              </w:rPr>
              <w:t>[2]</w:t>
            </w:r>
            <w:r>
              <w:fldChar w:fldCharType="end"/>
            </w:r>
          </w:p>
        </w:tc>
        <w:tc>
          <w:tcPr>
            <w:tcW w:w="747" w:type="pct"/>
            <w:vAlign w:val="center"/>
          </w:tcPr>
          <w:p w14:paraId="79E8B280" w14:textId="0F4A0792" w:rsidR="0087589A" w:rsidRPr="00164128" w:rsidRDefault="0087589A" w:rsidP="0087589A">
            <w:r>
              <w:t>Neale Lab</w:t>
            </w:r>
          </w:p>
        </w:tc>
        <w:tc>
          <w:tcPr>
            <w:tcW w:w="542" w:type="pct"/>
            <w:vAlign w:val="center"/>
          </w:tcPr>
          <w:p w14:paraId="6F14DD58" w14:textId="7C5CE0D1" w:rsidR="0087589A" w:rsidRPr="00164128" w:rsidRDefault="0087589A" w:rsidP="0087589A">
            <w:r>
              <w:t>317754</w:t>
            </w:r>
          </w:p>
        </w:tc>
        <w:tc>
          <w:tcPr>
            <w:tcW w:w="610" w:type="pct"/>
            <w:vAlign w:val="center"/>
          </w:tcPr>
          <w:p w14:paraId="0E7C7B1F" w14:textId="640554C5" w:rsidR="0087589A" w:rsidRPr="00164128" w:rsidRDefault="0087589A" w:rsidP="0087589A">
            <w:r>
              <w:t>European</w:t>
            </w:r>
          </w:p>
        </w:tc>
        <w:tc>
          <w:tcPr>
            <w:tcW w:w="663" w:type="pct"/>
            <w:vAlign w:val="center"/>
          </w:tcPr>
          <w:p w14:paraId="588C1B5E" w14:textId="6BF54317" w:rsidR="0087589A" w:rsidRPr="00164128" w:rsidRDefault="0087589A" w:rsidP="0087589A">
            <w:r w:rsidRPr="00164128">
              <w:t>Males and females</w:t>
            </w:r>
          </w:p>
        </w:tc>
      </w:tr>
    </w:tbl>
    <w:p w14:paraId="6422118D" w14:textId="77777777" w:rsidR="0087589A" w:rsidRPr="00D30087" w:rsidRDefault="0087589A" w:rsidP="0087589A"/>
    <w:p w14:paraId="56CF93BE" w14:textId="2DFE105E" w:rsidR="00A101B1" w:rsidRPr="00D30087" w:rsidRDefault="00D30087" w:rsidP="00264A93">
      <w:pPr>
        <w:pStyle w:val="ListParagraph"/>
        <w:numPr>
          <w:ilvl w:val="0"/>
          <w:numId w:val="5"/>
        </w:numPr>
      </w:pPr>
      <w:r w:rsidRPr="00D30087">
        <w:t xml:space="preserve">Define the outcome by selecting the </w:t>
      </w:r>
      <w:r w:rsidR="0051667D" w:rsidRPr="00D30087">
        <w:t xml:space="preserve">following outcomes from the MR-Base GWAS </w:t>
      </w:r>
      <w:proofErr w:type="spellStart"/>
      <w:r w:rsidR="0051667D" w:rsidRPr="00D30087">
        <w:t>catalog</w:t>
      </w:r>
      <w:proofErr w:type="spellEnd"/>
      <w:r w:rsidR="0051667D" w:rsidRPr="00D30087">
        <w:t>:</w:t>
      </w:r>
    </w:p>
    <w:p w14:paraId="1E047CFE" w14:textId="77777777" w:rsidR="0051667D" w:rsidRPr="00D30087" w:rsidRDefault="0051667D" w:rsidP="00264A93">
      <w:pPr>
        <w:pStyle w:val="ListParagraph"/>
      </w:pPr>
    </w:p>
    <w:tbl>
      <w:tblPr>
        <w:tblStyle w:val="TableGrid"/>
        <w:tblW w:w="5000" w:type="pct"/>
        <w:tblLayout w:type="fixed"/>
        <w:tblLook w:val="04A0" w:firstRow="1" w:lastRow="0" w:firstColumn="1" w:lastColumn="0" w:noHBand="0" w:noVBand="1"/>
      </w:tblPr>
      <w:tblGrid>
        <w:gridCol w:w="848"/>
        <w:gridCol w:w="2269"/>
        <w:gridCol w:w="1982"/>
        <w:gridCol w:w="1562"/>
        <w:gridCol w:w="1133"/>
        <w:gridCol w:w="1276"/>
        <w:gridCol w:w="1386"/>
      </w:tblGrid>
      <w:tr w:rsidR="00164128" w:rsidRPr="00164128" w14:paraId="4CF036E9" w14:textId="77777777" w:rsidTr="0087589A">
        <w:tc>
          <w:tcPr>
            <w:tcW w:w="405" w:type="pct"/>
            <w:vAlign w:val="center"/>
          </w:tcPr>
          <w:p w14:paraId="3877BB0E" w14:textId="77777777" w:rsidR="00A101B1" w:rsidRPr="00164128" w:rsidRDefault="00A101B1" w:rsidP="00264A93">
            <w:r w:rsidRPr="00164128">
              <w:t>ID</w:t>
            </w:r>
          </w:p>
        </w:tc>
        <w:tc>
          <w:tcPr>
            <w:tcW w:w="1085" w:type="pct"/>
            <w:vAlign w:val="center"/>
          </w:tcPr>
          <w:p w14:paraId="644FE8F7" w14:textId="77777777" w:rsidR="00A101B1" w:rsidRPr="00164128" w:rsidRDefault="00A101B1" w:rsidP="00264A93">
            <w:r w:rsidRPr="00164128">
              <w:t>Variable</w:t>
            </w:r>
          </w:p>
        </w:tc>
        <w:tc>
          <w:tcPr>
            <w:tcW w:w="948" w:type="pct"/>
            <w:vAlign w:val="center"/>
          </w:tcPr>
          <w:p w14:paraId="68A9469C" w14:textId="77777777" w:rsidR="00A101B1" w:rsidRPr="00164128" w:rsidRDefault="00A101B1" w:rsidP="00264A93">
            <w:r w:rsidRPr="00164128">
              <w:t>First author (year)</w:t>
            </w:r>
          </w:p>
        </w:tc>
        <w:tc>
          <w:tcPr>
            <w:tcW w:w="747" w:type="pct"/>
            <w:vAlign w:val="center"/>
          </w:tcPr>
          <w:p w14:paraId="4106CAAE" w14:textId="77777777" w:rsidR="00A101B1" w:rsidRPr="00164128" w:rsidRDefault="00A101B1" w:rsidP="00264A93">
            <w:r w:rsidRPr="00164128">
              <w:t>Consortium</w:t>
            </w:r>
          </w:p>
        </w:tc>
        <w:tc>
          <w:tcPr>
            <w:tcW w:w="542" w:type="pct"/>
            <w:vAlign w:val="center"/>
          </w:tcPr>
          <w:p w14:paraId="3C9A404A" w14:textId="77777777" w:rsidR="00A101B1" w:rsidRPr="00164128" w:rsidRDefault="00A101B1" w:rsidP="00264A93">
            <w:r w:rsidRPr="00164128">
              <w:t>Sample size</w:t>
            </w:r>
          </w:p>
        </w:tc>
        <w:tc>
          <w:tcPr>
            <w:tcW w:w="610" w:type="pct"/>
            <w:vAlign w:val="center"/>
          </w:tcPr>
          <w:p w14:paraId="04A130E0" w14:textId="77777777" w:rsidR="00A101B1" w:rsidRPr="00164128" w:rsidRDefault="00A101B1" w:rsidP="00264A93">
            <w:r w:rsidRPr="00164128">
              <w:t>Population</w:t>
            </w:r>
          </w:p>
        </w:tc>
        <w:tc>
          <w:tcPr>
            <w:tcW w:w="663" w:type="pct"/>
            <w:vAlign w:val="center"/>
          </w:tcPr>
          <w:p w14:paraId="36DCBA9F" w14:textId="77777777" w:rsidR="00A101B1" w:rsidRPr="00164128" w:rsidRDefault="00A101B1" w:rsidP="00264A93">
            <w:r w:rsidRPr="00164128">
              <w:t>Sex</w:t>
            </w:r>
          </w:p>
        </w:tc>
      </w:tr>
      <w:tr w:rsidR="00164128" w:rsidRPr="00164128" w14:paraId="3F3E93BA" w14:textId="77777777" w:rsidTr="0087589A">
        <w:tc>
          <w:tcPr>
            <w:tcW w:w="405" w:type="pct"/>
            <w:vAlign w:val="center"/>
          </w:tcPr>
          <w:p w14:paraId="3677579F" w14:textId="56565CD2" w:rsidR="00A101B1" w:rsidRPr="00164128" w:rsidRDefault="0087589A" w:rsidP="00264A93">
            <w:r>
              <w:t>7</w:t>
            </w:r>
          </w:p>
        </w:tc>
        <w:tc>
          <w:tcPr>
            <w:tcW w:w="1085" w:type="pct"/>
            <w:vAlign w:val="center"/>
          </w:tcPr>
          <w:p w14:paraId="1B693379" w14:textId="3E118525" w:rsidR="0087589A" w:rsidRPr="00164128" w:rsidRDefault="0087589A" w:rsidP="00264A93">
            <w:r>
              <w:t>Coronary heart disease</w:t>
            </w:r>
          </w:p>
        </w:tc>
        <w:tc>
          <w:tcPr>
            <w:tcW w:w="948" w:type="pct"/>
            <w:vAlign w:val="center"/>
          </w:tcPr>
          <w:p w14:paraId="2DE87217" w14:textId="0553A8E8" w:rsidR="00A101B1" w:rsidRPr="00164128" w:rsidRDefault="0087589A" w:rsidP="00264A93">
            <w:proofErr w:type="spellStart"/>
            <w:r>
              <w:t>Nikpay</w:t>
            </w:r>
            <w:proofErr w:type="spellEnd"/>
            <w:r w:rsidR="00A101B1" w:rsidRPr="00164128">
              <w:t xml:space="preserve"> (2015)</w:t>
            </w:r>
            <w:r w:rsidR="00A605E2" w:rsidRPr="00164128">
              <w:t xml:space="preserve"> </w:t>
            </w:r>
            <w:r>
              <w:fldChar w:fldCharType="begin"/>
            </w:r>
            <w:r w:rsidR="0029049C">
              <w:instrText xml:space="preserve"> ADDIN ZOTERO_ITEM CSL_CITATION {"citationID":"a1p1kdkmcg8","properties":{"formattedCitation":"[3]","plainCitation":"[3]"},"citationItems":[{"id":2430,"uris":["http://zotero.org/users/2782891/items/USF9MQIR"],"uri":["http://zotero.org/users/2782891/items/USF9MQIR"],"itemData":{"id":2430,"type":"article-journal","title":"A comprehensive 1,000 Genomes-based genome-wide association meta-analysis of coronary artery disease","container-title":"Nature Genetics","page":"1121-1130","volume":"47","issue":"10","source":"PubMed","abstract":"Existing knowledge of genetic variants affecting risk of coronary artery disease (CAD) is largely based on genome-wide association study (GWAS) analysis of common SNPs. Leveraging phased haplotypes from the 1000 Genomes Project, we report a GWAS meta-analysis of </w:instrText>
            </w:r>
            <w:r w:rsidR="0029049C">
              <w:rPr>
                <w:rFonts w:ascii="Cambria Math" w:hAnsi="Cambria Math" w:cs="Cambria Math"/>
              </w:rPr>
              <w:instrText>∼</w:instrText>
            </w:r>
            <w:r w:rsidR="0029049C">
              <w:instrText xml:space="preserve">185,000 CAD cases and controls, interrogating 6.7 million common (minor allele frequency (MAF) &gt; 0.05) and 2.7 million low-frequency (0.005 &lt; MAF &lt; 0.05) variants. In addition to confirming most known CAD-associated loci, we identified ten new loci (eight additive and two recessive) that contain candidate causal genes newly implicating biological processes in vessel walls. We observed intralocus allelic heterogeneity but little evidence of low-frequency variants with larger effects and no evidence of synthetic association. Our analysis provides a comprehensive survey of the fine genetic architecture of CAD, showing that genetic susceptibility to this common disease is largely determined by common SNPs of small effect size.","DOI":"10.1038/ng.3396","ISSN":"1546-1718","note":"PMID: 26343387\nPMCID: PMC4589895","journalAbbreviation":"Nat. Genet.","language":"eng","author":[{"family":"Nikpay","given":"Majid"},{"family":"Goel","given":"Anuj"},{"family":"Won","given":"Hong-Hee"},{"family":"Hall","given":"Leanne M."},{"family":"Willenborg","given":"Christina"},{"family":"Kanoni","given":"Stavroula"},{"family":"Saleheen","given":"Danish"},{"family":"Kyriakou","given":"Theodosios"},{"family":"Nelson","given":"Christopher P."},{"family":"Hopewell","given":"Jemma C."},{"family":"Webb","given":"Thomas R."},{"family":"Zeng","given":"Lingyao"},{"family":"Dehghan","given":"Abbas"},{"family":"Alver","given":"Maris"},{"family":"Armasu","given":"Sebastian M."},{"family":"Auro","given":"Kirsi"},{"family":"Bjonnes","given":"Andrew"},{"family":"Chasman","given":"Daniel I."},{"family":"Chen","given":"Shufeng"},{"family":"Ford","given":"Ian"},{"family":"Franceschini","given":"Nora"},{"family":"Gieger","given":"Christian"},{"family":"Grace","given":"Christopher"},{"family":"Gustafsson","given":"Stefan"},{"family":"Huang","given":"Jie"},{"family":"Hwang","given":"Shih-Jen"},{"family":"Kim","given":"Yun Kyoung"},{"family":"Kleber","given":"Marcus E."},{"family":"Lau","given":"King Wai"},{"family":"Lu","given":"Xiangfeng"},{"family":"Lu","given":"Yingchang"},{"family":"Lyytikäinen","given":"Leo-Pekka"},{"family":"Mihailov","given":"Evelin"},{"family":"Morrison","given":"Alanna C."},{"family":"Pervjakova","given":"Natalia"},{"family":"Qu","given":"Liming"},{"family":"Rose","given":"Lynda M."},{"family":"Salfati","given":"Elias"},{"family":"Saxena","given":"Richa"},{"family":"Scholz","given":"Markus"},{"family":"Smith","given":"Albert V."},{"family":"Tikkanen","given":"Emmi"},{"family":"Uitterlinden","given":"Andre"},{"family":"Yang","given":"Xueli"},{"family":"Zhang","given":"Weihua"},{"family":"Zhao","given":"Wei"},{"family":"Andrade","given":"Mariza","non-dropping-particle":"de"},{"family":"Vries","given":"Paul S.","non-dropping-particle":"de"},{"family":"Zuydam","given":"Natalie R.","non-dropping-particle":"van"},{"family":"Anand","given":"Sonia S."},{"family":"Bertram","given":"Lars"},{"family":"Beutner","given":"Frank"},{"family":"Dedoussis","given":"George"},{"family":"Frossard","given":"Philippe"},{"family":"Gauguier","given":"Dominique"},{"family":"Goodall","given":"Alison H."},{"family":"Gottesman","given":"Omri"},{"family":"Haber","given":"Marc"},{"family":"Han","given":"Bok-Ghee"},{"family":"Huang","given":"Jianfeng"},{"family":"Jalilzadeh","given":"Shapour"},{"family":"Kessler","given":"Thorsten"},{"family":"König","given":"Inke R."},{"family":"Lannfelt","given":"Lars"},{"family":"Lieb","given":"Wolfgang"},{"family":"Lind","given":"Lars"},{"family":"Lindgren","given":"Cecilia M."},{"family":"Lokki","given":"Marja-Liisa"},{"family":"Magnusson","given":"Patrik K."},{"family":"Mallick","given":"Nadeem H."},{"family":"Mehra","given":"Narinder"},{"family":"Meitinger","given":"Thomas"},{"family":"Memon","given":"Fazal-Ur-Rehman"},{"family":"Morris","given":"Andrew P."},{"family":"Nieminen","given":"Markku S."},{"family":"Pedersen","given":"Nancy L."},{"family":"Peters","given":"Annette"},{"family":"Rallidis","given":"Loukianos S."},{"family":"Rasheed","given":"Asif"},{"family":"Samuel","given":"Maria"},{"family":"Shah","given":"Svati H."},{"family":"Sinisalo","given":"Juha"},{"family":"Stirrups","given":"Kathleen E."},{"family":"Trompet","given":"Stella"},{"family":"Wang","given":"Laiyuan"},{"family":"Zaman","given":"Khan S."},{"family":"Ardissino","given":"Diego"},{"family":"Boerwinkle","given":"Eric"},{"family":"Borecki","given":"Ingrid B."},{"family":"Bottinger","given":"Erwin P."},{"family":"Buring","given":"Julie E."},{"family":"Chambers","given":"John C."},{"family":"Collins","given":"Rory"},{"family":"Cupples","given":"L. Adrienne"},{"family":"Danesh","given":"John"},{"family":"Demuth","given":"Ilja"},{"family":"Elosua","given":"Roberto"},{"family":"Epstein","given":"Stephen E."},{"family":"Esko","given":"Tõnu"},{"family":"Feitosa","given":"Mary F."},{"family":"Franco","given":"Oscar H."},{"family":"Franzosi","given":"Maria Grazia"},{"family":"Granger","given":"Christopher B."},{"family":"Gu","given":"Dongfeng"},{"family":"Gudnason","given":"Vilmundur"},{"family":"Hall","given":"Alistair S."},{"family":"Hamsten","given":"Anders"},{"family":"Harris","given":"Tamara B."},{"family":"Hazen","given":"Stanley L."},{"family":"Hengstenberg","given":"Christian"},{"family":"Hofman","given":"Albert"},{"family":"Ingelsson","given":"Erik"},{"family":"Iribarren","given":"Carlos"},{"family":"Jukema","given":"J. Wouter"},{"family":"Karhunen","given":"Pekka J."},{"family":"Kim","given":"Bong-Jo"},{"family":"Kooner","given":"Jaspal S."},{"family":"Kullo","given":"Iftikhar J."},{"family":"Lehtimäki","given":"Terho"},{"family":"Loos","given":"Ruth J. F."},{"family":"Melander","given":"Olle"},{"family":"Metspalu","given":"Andres"},{"family":"März","given":"Winfried"},{"family":"Palmer","given":"Colin N."},{"family":"Perola","given":"Markus"},{"family":"Quertermous","given":"Thomas"},{"family":"Rader","given":"Daniel J."},{"family":"Ridker","given":"Paul M."},{"family":"Ripatti","given":"Samuli"},{"family":"Roberts","given":"Robert"},{"family":"Salomaa","given":"Veikko"},{"family":"Sanghera","given":"Dharambir K."},{"family":"Schwartz","given":"Stephen M."},{"family":"Seedorf","given":"Udo"},{"family":"Stewart","given":"Alexandre F."},{"family":"Stott","given":"David J."},{"family":"Thiery","given":"Joachim"},{"family":"Zalloua","given":"Pierre A."},{"family":"O'Donnell","given":"Christopher J."},{"family":"Reilly","given":"Muredach P."},{"family":"Assimes","given":"Themistocles L."},{"family":"Thompson","given":"John R."},{"family":"Erdmann","given":"Jeanette"},{"family":"Clarke","given":"Robert"},{"family":"Watkins","given":"Hugh"},{"family":"Kathiresan","given":"Sekar"},{"family":"McPherson","given":"Ruth"},{"family":"Deloukas","given":"Panos"},{"family":"Schunkert","given":"Heribert"},{"family":"Samani","given":"Nilesh J."},{"family":"Farrall","given":"Martin"}],"issued":{"date-parts":[["2015",10]]}}}],"schema":"https://github.com/citation-style-language/schema/raw/master/csl-citation.json"} </w:instrText>
            </w:r>
            <w:r>
              <w:fldChar w:fldCharType="separate"/>
            </w:r>
            <w:r w:rsidR="0029049C" w:rsidRPr="0029049C">
              <w:rPr>
                <w:rFonts w:ascii="Calibri Light" w:hAnsi="Calibri Light"/>
              </w:rPr>
              <w:t>[3]</w:t>
            </w:r>
            <w:r>
              <w:fldChar w:fldCharType="end"/>
            </w:r>
          </w:p>
        </w:tc>
        <w:tc>
          <w:tcPr>
            <w:tcW w:w="747" w:type="pct"/>
            <w:vAlign w:val="center"/>
          </w:tcPr>
          <w:p w14:paraId="496D9A9F" w14:textId="0DF69B67" w:rsidR="00A101B1" w:rsidRPr="00164128" w:rsidRDefault="0087589A" w:rsidP="00264A93">
            <w:r>
              <w:t>CARDIoGRAMplusC4D</w:t>
            </w:r>
          </w:p>
        </w:tc>
        <w:tc>
          <w:tcPr>
            <w:tcW w:w="542" w:type="pct"/>
            <w:vAlign w:val="center"/>
          </w:tcPr>
          <w:p w14:paraId="0CD19D6E" w14:textId="6B5FA54E" w:rsidR="00A101B1" w:rsidRPr="00164128" w:rsidRDefault="0087589A" w:rsidP="00264A93">
            <w:r>
              <w:t>184305</w:t>
            </w:r>
          </w:p>
        </w:tc>
        <w:tc>
          <w:tcPr>
            <w:tcW w:w="610" w:type="pct"/>
            <w:vAlign w:val="center"/>
          </w:tcPr>
          <w:p w14:paraId="60914C5E" w14:textId="1639B806" w:rsidR="00A101B1" w:rsidRPr="00164128" w:rsidRDefault="00A101B1" w:rsidP="00264A93">
            <w:r w:rsidRPr="00164128">
              <w:t>Mixed</w:t>
            </w:r>
          </w:p>
        </w:tc>
        <w:tc>
          <w:tcPr>
            <w:tcW w:w="663" w:type="pct"/>
            <w:vAlign w:val="center"/>
          </w:tcPr>
          <w:p w14:paraId="412B8FF5" w14:textId="4E600FE6" w:rsidR="00A101B1" w:rsidRPr="00164128" w:rsidRDefault="00A101B1" w:rsidP="00264A93">
            <w:r w:rsidRPr="00164128">
              <w:t>Males and females</w:t>
            </w:r>
          </w:p>
        </w:tc>
      </w:tr>
    </w:tbl>
    <w:p w14:paraId="30461C3B" w14:textId="38A8DB96" w:rsidR="007E4EB9" w:rsidRDefault="007E4EB9" w:rsidP="00264A93"/>
    <w:p w14:paraId="08DD735C" w14:textId="2F923027" w:rsidR="00D30087" w:rsidRPr="0007601D" w:rsidRDefault="00D30087" w:rsidP="00264A93">
      <w:pPr>
        <w:pStyle w:val="ListParagraph"/>
        <w:numPr>
          <w:ilvl w:val="0"/>
          <w:numId w:val="5"/>
        </w:numPr>
        <w:rPr>
          <w:u w:val="single"/>
        </w:rPr>
      </w:pPr>
      <w:r>
        <w:t>Specify the analysis settings:</w:t>
      </w:r>
    </w:p>
    <w:p w14:paraId="424D6E6D" w14:textId="77777777" w:rsidR="0007601D" w:rsidRPr="00D30087" w:rsidRDefault="0007601D" w:rsidP="00264A93">
      <w:pPr>
        <w:pStyle w:val="ListParagraph"/>
      </w:pPr>
    </w:p>
    <w:p w14:paraId="40B1E565" w14:textId="039CBFCA" w:rsidR="00D30087" w:rsidRDefault="00D30087" w:rsidP="00264A93">
      <w:pPr>
        <w:pStyle w:val="ListParagraph"/>
        <w:numPr>
          <w:ilvl w:val="0"/>
          <w:numId w:val="4"/>
        </w:numPr>
      </w:pPr>
      <w:r>
        <w:t>Set LD clumping to ‘</w:t>
      </w:r>
      <w:r w:rsidRPr="00D30087">
        <w:t>Do not check for LD between SNPs</w:t>
      </w:r>
      <w:r>
        <w:t xml:space="preserve">’ (as this was </w:t>
      </w:r>
      <w:r w:rsidR="002F175F">
        <w:t>done</w:t>
      </w:r>
      <w:r>
        <w:t xml:space="preserve"> in step 2)</w:t>
      </w:r>
    </w:p>
    <w:p w14:paraId="6F9AE1B5" w14:textId="3A92D7C9" w:rsidR="00D30087" w:rsidRDefault="0007601D" w:rsidP="00264A93">
      <w:pPr>
        <w:pStyle w:val="ListParagraph"/>
        <w:numPr>
          <w:ilvl w:val="0"/>
          <w:numId w:val="4"/>
        </w:numPr>
      </w:pPr>
      <w:r>
        <w:t xml:space="preserve">Specify that </w:t>
      </w:r>
      <w:r w:rsidR="00D30087">
        <w:t>LD proxies</w:t>
      </w:r>
      <w:r>
        <w:t xml:space="preserve"> are permitted</w:t>
      </w:r>
      <w:r w:rsidR="00D30087">
        <w:t xml:space="preserve"> with a minimum </w:t>
      </w:r>
      <w:r>
        <w:t xml:space="preserve">LD R squared value </w:t>
      </w:r>
      <w:r w:rsidR="00D30087">
        <w:t xml:space="preserve">of 0.8 and ensure ‘Allow palindromic SNPs?’ is ticked with the </w:t>
      </w:r>
      <w:r>
        <w:t>MAF</w:t>
      </w:r>
      <w:r w:rsidR="00D30087">
        <w:t xml:space="preserve"> threshold set to 0.3</w:t>
      </w:r>
    </w:p>
    <w:p w14:paraId="6357B14B" w14:textId="26C8F882" w:rsidR="0051667D" w:rsidRDefault="00D30087" w:rsidP="00264A93">
      <w:pPr>
        <w:pStyle w:val="ListParagraph"/>
        <w:numPr>
          <w:ilvl w:val="0"/>
          <w:numId w:val="4"/>
        </w:numPr>
      </w:pPr>
      <w:r>
        <w:t>Set allele harmonisation to ‘</w:t>
      </w:r>
      <w:r w:rsidRPr="00D30087">
        <w:t>Attempt to align strands for palindromic SNPs</w:t>
      </w:r>
      <w:r>
        <w:t>’</w:t>
      </w:r>
    </w:p>
    <w:p w14:paraId="7257A261" w14:textId="1700FC08" w:rsidR="0007601D" w:rsidRDefault="00D30087" w:rsidP="00264A93">
      <w:pPr>
        <w:pStyle w:val="ListParagraph"/>
        <w:numPr>
          <w:ilvl w:val="0"/>
          <w:numId w:val="4"/>
        </w:numPr>
      </w:pPr>
      <w:r>
        <w:t>Select the MR Egger, weighted median, weighted mode and inverse variance weighted methods for analys</w:t>
      </w:r>
      <w:r w:rsidR="0007601D">
        <w:t>is.</w:t>
      </w:r>
    </w:p>
    <w:p w14:paraId="1BD17947" w14:textId="77777777" w:rsidR="00264A93" w:rsidRDefault="00264A93" w:rsidP="00264A93"/>
    <w:p w14:paraId="1DFCE0F6" w14:textId="40CB0159" w:rsidR="0007601D" w:rsidRDefault="0007601D" w:rsidP="00264A93">
      <w:pPr>
        <w:pStyle w:val="ListParagraph"/>
        <w:numPr>
          <w:ilvl w:val="0"/>
          <w:numId w:val="5"/>
        </w:numPr>
      </w:pPr>
      <w:r>
        <w:t xml:space="preserve">Perform the MR analysis and save the results, including the citations that are to be referenced in any published work arising from this analysis.  </w:t>
      </w:r>
    </w:p>
    <w:p w14:paraId="46FF8348" w14:textId="5DEA0E4E" w:rsidR="00177D93" w:rsidRDefault="00177D93" w:rsidP="00264A93"/>
    <w:p w14:paraId="77339E60" w14:textId="427A5E4E" w:rsidR="00CC5CAA" w:rsidRDefault="00CC5CAA" w:rsidP="00264A93">
      <w:r>
        <w:t>Note: result files are indexed according to the MR-Base IDs listed above.</w:t>
      </w:r>
    </w:p>
    <w:p w14:paraId="664E9E7E" w14:textId="77777777" w:rsidR="00B10385" w:rsidRDefault="00B10385" w:rsidP="00B10385">
      <w:pPr>
        <w:pStyle w:val="ListParagraph"/>
        <w:ind w:left="0"/>
      </w:pPr>
    </w:p>
    <w:p w14:paraId="71232DC0" w14:textId="77777777" w:rsidR="00B10385" w:rsidRDefault="00B10385" w:rsidP="00B10385">
      <w:pPr>
        <w:pStyle w:val="Heading2"/>
      </w:pPr>
      <w:r>
        <w:t>Analysis R code</w:t>
      </w:r>
    </w:p>
    <w:p w14:paraId="6D9F17C2" w14:textId="77777777" w:rsidR="00B10385" w:rsidRDefault="00B10385" w:rsidP="00B10385"/>
    <w:p w14:paraId="0B5F54CE" w14:textId="77777777" w:rsidR="00B10385" w:rsidRPr="00EE466B" w:rsidRDefault="00B10385" w:rsidP="00B10385">
      <w:r>
        <w:t>MR-Base provides the analysis R code as an output. The R code for this analysis is provided below:</w:t>
      </w:r>
    </w:p>
    <w:p w14:paraId="1DD1A91B" w14:textId="5272B692" w:rsidR="00CC5CAA" w:rsidRDefault="00CC5CAA" w:rsidP="00264A93"/>
    <w:p w14:paraId="5C75482B" w14:textId="77777777" w:rsidR="00B10385" w:rsidRPr="00B10385" w:rsidRDefault="00B10385" w:rsidP="00B10385">
      <w:pPr>
        <w:rPr>
          <w:rFonts w:ascii="Courier New" w:hAnsi="Courier New" w:cs="Courier New"/>
        </w:rPr>
      </w:pPr>
      <w:proofErr w:type="gramStart"/>
      <w:r w:rsidRPr="00B10385">
        <w:rPr>
          <w:rFonts w:ascii="Courier New" w:hAnsi="Courier New" w:cs="Courier New"/>
        </w:rPr>
        <w:t>library(</w:t>
      </w:r>
      <w:proofErr w:type="gramEnd"/>
      <w:r w:rsidRPr="00B10385">
        <w:rPr>
          <w:rFonts w:ascii="Courier New" w:hAnsi="Courier New" w:cs="Courier New"/>
        </w:rPr>
        <w:t>TwoSampleMR)</w:t>
      </w:r>
    </w:p>
    <w:p w14:paraId="1A5E8944" w14:textId="77777777" w:rsidR="00B10385" w:rsidRPr="00B10385" w:rsidRDefault="00B10385" w:rsidP="00B10385">
      <w:pPr>
        <w:rPr>
          <w:rFonts w:ascii="Courier New" w:hAnsi="Courier New" w:cs="Courier New"/>
        </w:rPr>
      </w:pPr>
      <w:proofErr w:type="spellStart"/>
      <w:r w:rsidRPr="00B10385">
        <w:rPr>
          <w:rFonts w:ascii="Courier New" w:hAnsi="Courier New" w:cs="Courier New"/>
        </w:rPr>
        <w:t>ao</w:t>
      </w:r>
      <w:proofErr w:type="spellEnd"/>
      <w:r w:rsidRPr="00B10385">
        <w:rPr>
          <w:rFonts w:ascii="Courier New" w:hAnsi="Courier New" w:cs="Courier New"/>
        </w:rPr>
        <w:t xml:space="preserve"> &lt;- </w:t>
      </w:r>
      <w:proofErr w:type="spellStart"/>
      <w:r w:rsidRPr="00B10385">
        <w:rPr>
          <w:rFonts w:ascii="Courier New" w:hAnsi="Courier New" w:cs="Courier New"/>
        </w:rPr>
        <w:t>available_</w:t>
      </w:r>
      <w:proofErr w:type="gramStart"/>
      <w:r w:rsidRPr="00B10385">
        <w:rPr>
          <w:rFonts w:ascii="Courier New" w:hAnsi="Courier New" w:cs="Courier New"/>
        </w:rPr>
        <w:t>outcomes</w:t>
      </w:r>
      <w:proofErr w:type="spellEnd"/>
      <w:r w:rsidRPr="00B10385">
        <w:rPr>
          <w:rFonts w:ascii="Courier New" w:hAnsi="Courier New" w:cs="Courier New"/>
        </w:rPr>
        <w:t>(</w:t>
      </w:r>
      <w:proofErr w:type="gramEnd"/>
      <w:r w:rsidRPr="00B10385">
        <w:rPr>
          <w:rFonts w:ascii="Courier New" w:hAnsi="Courier New" w:cs="Courier New"/>
        </w:rPr>
        <w:t>)</w:t>
      </w:r>
    </w:p>
    <w:p w14:paraId="37C4C1E8" w14:textId="77777777" w:rsidR="00B10385" w:rsidRPr="00B10385" w:rsidRDefault="00B10385" w:rsidP="00B10385">
      <w:pPr>
        <w:rPr>
          <w:rFonts w:ascii="Courier New" w:hAnsi="Courier New" w:cs="Courier New"/>
        </w:rPr>
      </w:pPr>
      <w:proofErr w:type="spellStart"/>
      <w:r w:rsidRPr="00B10385">
        <w:rPr>
          <w:rFonts w:ascii="Courier New" w:hAnsi="Courier New" w:cs="Courier New"/>
        </w:rPr>
        <w:t>exposure_dat</w:t>
      </w:r>
      <w:proofErr w:type="spellEnd"/>
      <w:r w:rsidRPr="00B10385">
        <w:rPr>
          <w:rFonts w:ascii="Courier New" w:hAnsi="Courier New" w:cs="Courier New"/>
        </w:rPr>
        <w:t xml:space="preserve"> &lt;- </w:t>
      </w:r>
      <w:proofErr w:type="spellStart"/>
      <w:r w:rsidRPr="00B10385">
        <w:rPr>
          <w:rFonts w:ascii="Courier New" w:hAnsi="Courier New" w:cs="Courier New"/>
        </w:rPr>
        <w:t>extract_instruments</w:t>
      </w:r>
      <w:proofErr w:type="spellEnd"/>
      <w:r w:rsidRPr="00B10385">
        <w:rPr>
          <w:rFonts w:ascii="Courier New" w:hAnsi="Courier New" w:cs="Courier New"/>
        </w:rPr>
        <w:t>(c('UKB-a:360'))</w:t>
      </w:r>
    </w:p>
    <w:p w14:paraId="124FB0B5" w14:textId="77777777" w:rsidR="00B10385" w:rsidRPr="00B10385" w:rsidRDefault="00B10385" w:rsidP="00B10385">
      <w:pPr>
        <w:rPr>
          <w:rFonts w:ascii="Courier New" w:hAnsi="Courier New" w:cs="Courier New"/>
        </w:rPr>
      </w:pPr>
      <w:proofErr w:type="spellStart"/>
      <w:r w:rsidRPr="00B10385">
        <w:rPr>
          <w:rFonts w:ascii="Courier New" w:hAnsi="Courier New" w:cs="Courier New"/>
        </w:rPr>
        <w:t>outcome_dat</w:t>
      </w:r>
      <w:proofErr w:type="spellEnd"/>
      <w:r w:rsidRPr="00B10385">
        <w:rPr>
          <w:rFonts w:ascii="Courier New" w:hAnsi="Courier New" w:cs="Courier New"/>
        </w:rPr>
        <w:t xml:space="preserve"> &lt;- </w:t>
      </w:r>
      <w:proofErr w:type="spellStart"/>
      <w:r w:rsidRPr="00B10385">
        <w:rPr>
          <w:rFonts w:ascii="Courier New" w:hAnsi="Courier New" w:cs="Courier New"/>
        </w:rPr>
        <w:t>extract_outcome_</w:t>
      </w:r>
      <w:proofErr w:type="gramStart"/>
      <w:r w:rsidRPr="00B10385">
        <w:rPr>
          <w:rFonts w:ascii="Courier New" w:hAnsi="Courier New" w:cs="Courier New"/>
        </w:rPr>
        <w:t>data</w:t>
      </w:r>
      <w:proofErr w:type="spellEnd"/>
      <w:r w:rsidRPr="00B10385">
        <w:rPr>
          <w:rFonts w:ascii="Courier New" w:hAnsi="Courier New" w:cs="Courier New"/>
        </w:rPr>
        <w:t>(</w:t>
      </w:r>
      <w:proofErr w:type="spellStart"/>
      <w:proofErr w:type="gramEnd"/>
      <w:r w:rsidRPr="00B10385">
        <w:rPr>
          <w:rFonts w:ascii="Courier New" w:hAnsi="Courier New" w:cs="Courier New"/>
        </w:rPr>
        <w:t>exposure_dat$SNP</w:t>
      </w:r>
      <w:proofErr w:type="spellEnd"/>
      <w:r w:rsidRPr="00B10385">
        <w:rPr>
          <w:rFonts w:ascii="Courier New" w:hAnsi="Courier New" w:cs="Courier New"/>
        </w:rPr>
        <w:t xml:space="preserve">, c('7'), proxies = 1, </w:t>
      </w:r>
      <w:proofErr w:type="spellStart"/>
      <w:r w:rsidRPr="00B10385">
        <w:rPr>
          <w:rFonts w:ascii="Courier New" w:hAnsi="Courier New" w:cs="Courier New"/>
        </w:rPr>
        <w:t>rsq</w:t>
      </w:r>
      <w:proofErr w:type="spellEnd"/>
      <w:r w:rsidRPr="00B10385">
        <w:rPr>
          <w:rFonts w:ascii="Courier New" w:hAnsi="Courier New" w:cs="Courier New"/>
        </w:rPr>
        <w:t xml:space="preserve"> = 0.8, </w:t>
      </w:r>
      <w:proofErr w:type="spellStart"/>
      <w:r w:rsidRPr="00B10385">
        <w:rPr>
          <w:rFonts w:ascii="Courier New" w:hAnsi="Courier New" w:cs="Courier New"/>
        </w:rPr>
        <w:t>align_alleles</w:t>
      </w:r>
      <w:proofErr w:type="spellEnd"/>
      <w:r w:rsidRPr="00B10385">
        <w:rPr>
          <w:rFonts w:ascii="Courier New" w:hAnsi="Courier New" w:cs="Courier New"/>
        </w:rPr>
        <w:t xml:space="preserve"> = 1, palindromes = 1, </w:t>
      </w:r>
      <w:proofErr w:type="spellStart"/>
      <w:r w:rsidRPr="00B10385">
        <w:rPr>
          <w:rFonts w:ascii="Courier New" w:hAnsi="Courier New" w:cs="Courier New"/>
        </w:rPr>
        <w:t>maf_threshold</w:t>
      </w:r>
      <w:proofErr w:type="spellEnd"/>
      <w:r w:rsidRPr="00B10385">
        <w:rPr>
          <w:rFonts w:ascii="Courier New" w:hAnsi="Courier New" w:cs="Courier New"/>
        </w:rPr>
        <w:t xml:space="preserve"> = 0.3)</w:t>
      </w:r>
    </w:p>
    <w:p w14:paraId="163AD7EA" w14:textId="77777777" w:rsidR="00B10385" w:rsidRPr="00B10385" w:rsidRDefault="00B10385" w:rsidP="00B10385">
      <w:pPr>
        <w:rPr>
          <w:rFonts w:ascii="Courier New" w:hAnsi="Courier New" w:cs="Courier New"/>
        </w:rPr>
      </w:pPr>
      <w:proofErr w:type="spellStart"/>
      <w:r w:rsidRPr="00B10385">
        <w:rPr>
          <w:rFonts w:ascii="Courier New" w:hAnsi="Courier New" w:cs="Courier New"/>
        </w:rPr>
        <w:t>dat</w:t>
      </w:r>
      <w:proofErr w:type="spellEnd"/>
      <w:r w:rsidRPr="00B10385">
        <w:rPr>
          <w:rFonts w:ascii="Courier New" w:hAnsi="Courier New" w:cs="Courier New"/>
        </w:rPr>
        <w:t xml:space="preserve"> &lt;- </w:t>
      </w:r>
      <w:proofErr w:type="spellStart"/>
      <w:r w:rsidRPr="00B10385">
        <w:rPr>
          <w:rFonts w:ascii="Courier New" w:hAnsi="Courier New" w:cs="Courier New"/>
        </w:rPr>
        <w:t>harmonise_</w:t>
      </w:r>
      <w:proofErr w:type="gramStart"/>
      <w:r w:rsidRPr="00B10385">
        <w:rPr>
          <w:rFonts w:ascii="Courier New" w:hAnsi="Courier New" w:cs="Courier New"/>
        </w:rPr>
        <w:t>data</w:t>
      </w:r>
      <w:proofErr w:type="spellEnd"/>
      <w:r w:rsidRPr="00B10385">
        <w:rPr>
          <w:rFonts w:ascii="Courier New" w:hAnsi="Courier New" w:cs="Courier New"/>
        </w:rPr>
        <w:t>(</w:t>
      </w:r>
      <w:proofErr w:type="spellStart"/>
      <w:proofErr w:type="gramEnd"/>
      <w:r w:rsidRPr="00B10385">
        <w:rPr>
          <w:rFonts w:ascii="Courier New" w:hAnsi="Courier New" w:cs="Courier New"/>
        </w:rPr>
        <w:t>exposure_dat</w:t>
      </w:r>
      <w:proofErr w:type="spellEnd"/>
      <w:r w:rsidRPr="00B10385">
        <w:rPr>
          <w:rFonts w:ascii="Courier New" w:hAnsi="Courier New" w:cs="Courier New"/>
        </w:rPr>
        <w:t xml:space="preserve">, </w:t>
      </w:r>
      <w:proofErr w:type="spellStart"/>
      <w:r w:rsidRPr="00B10385">
        <w:rPr>
          <w:rFonts w:ascii="Courier New" w:hAnsi="Courier New" w:cs="Courier New"/>
        </w:rPr>
        <w:t>outcome_dat</w:t>
      </w:r>
      <w:proofErr w:type="spellEnd"/>
      <w:r w:rsidRPr="00B10385">
        <w:rPr>
          <w:rFonts w:ascii="Courier New" w:hAnsi="Courier New" w:cs="Courier New"/>
        </w:rPr>
        <w:t>, action = 2)</w:t>
      </w:r>
    </w:p>
    <w:p w14:paraId="15D2DD87" w14:textId="6A79DC69" w:rsidR="00B10385" w:rsidRPr="00B10385" w:rsidRDefault="00B10385" w:rsidP="00B10385">
      <w:pPr>
        <w:rPr>
          <w:rFonts w:ascii="Courier New" w:hAnsi="Courier New" w:cs="Courier New"/>
        </w:rPr>
      </w:pPr>
      <w:proofErr w:type="spellStart"/>
      <w:r w:rsidRPr="00B10385">
        <w:rPr>
          <w:rFonts w:ascii="Courier New" w:hAnsi="Courier New" w:cs="Courier New"/>
        </w:rPr>
        <w:t>mr_results</w:t>
      </w:r>
      <w:proofErr w:type="spellEnd"/>
      <w:r w:rsidRPr="00B10385">
        <w:rPr>
          <w:rFonts w:ascii="Courier New" w:hAnsi="Courier New" w:cs="Courier New"/>
        </w:rPr>
        <w:t xml:space="preserve"> &lt;- </w:t>
      </w:r>
      <w:proofErr w:type="spellStart"/>
      <w:r w:rsidRPr="00B10385">
        <w:rPr>
          <w:rFonts w:ascii="Courier New" w:hAnsi="Courier New" w:cs="Courier New"/>
        </w:rPr>
        <w:t>mr</w:t>
      </w:r>
      <w:proofErr w:type="spellEnd"/>
      <w:r w:rsidRPr="00B10385">
        <w:rPr>
          <w:rFonts w:ascii="Courier New" w:hAnsi="Courier New" w:cs="Courier New"/>
        </w:rPr>
        <w:t>(</w:t>
      </w:r>
      <w:proofErr w:type="spellStart"/>
      <w:r w:rsidRPr="00B10385">
        <w:rPr>
          <w:rFonts w:ascii="Courier New" w:hAnsi="Courier New" w:cs="Courier New"/>
        </w:rPr>
        <w:t>dat</w:t>
      </w:r>
      <w:proofErr w:type="spellEnd"/>
      <w:r w:rsidRPr="00B10385">
        <w:rPr>
          <w:rFonts w:ascii="Courier New" w:hAnsi="Courier New" w:cs="Courier New"/>
        </w:rPr>
        <w:t>)</w:t>
      </w:r>
      <w:bookmarkStart w:id="0" w:name="_GoBack"/>
      <w:bookmarkEnd w:id="0"/>
    </w:p>
    <w:p w14:paraId="6F3EACA9" w14:textId="77777777" w:rsidR="00B10385" w:rsidRDefault="00B10385" w:rsidP="00264A93"/>
    <w:p w14:paraId="08895AC2" w14:textId="5767EE12" w:rsidR="0007601D" w:rsidRDefault="0007601D" w:rsidP="00CC5B93">
      <w:pPr>
        <w:pStyle w:val="Heading2"/>
      </w:pPr>
      <w:r>
        <w:lastRenderedPageBreak/>
        <w:t>References</w:t>
      </w:r>
    </w:p>
    <w:p w14:paraId="4924FD48" w14:textId="77777777" w:rsidR="00CC5B93" w:rsidRPr="00CC5B93" w:rsidRDefault="00CC5B93" w:rsidP="00CC5B93">
      <w:pPr>
        <w:rPr>
          <w:sz w:val="14"/>
        </w:rPr>
      </w:pPr>
    </w:p>
    <w:p w14:paraId="115710B4" w14:textId="77777777" w:rsidR="00DF7917" w:rsidRPr="00DF7917" w:rsidRDefault="00A605E2" w:rsidP="00DF7917">
      <w:pPr>
        <w:pStyle w:val="Bibliography"/>
        <w:rPr>
          <w:rFonts w:ascii="Calibri Light" w:hAnsi="Calibri Light"/>
        </w:rPr>
      </w:pPr>
      <w:r>
        <w:fldChar w:fldCharType="begin"/>
      </w:r>
      <w:r w:rsidR="00DF7917">
        <w:instrText xml:space="preserve"> ADDIN ZOTERO_BIBL {"custom":[]} CSL_BIBLIOGRAPHY </w:instrText>
      </w:r>
      <w:r>
        <w:fldChar w:fldCharType="separate"/>
      </w:r>
      <w:r w:rsidR="00DF7917" w:rsidRPr="00DF7917">
        <w:rPr>
          <w:rFonts w:ascii="Calibri Light" w:hAnsi="Calibri Light"/>
        </w:rPr>
        <w:t xml:space="preserve">1 </w:t>
      </w:r>
      <w:r w:rsidR="00DF7917" w:rsidRPr="00DF7917">
        <w:rPr>
          <w:rFonts w:ascii="Calibri Light" w:hAnsi="Calibri Light"/>
        </w:rPr>
        <w:tab/>
        <w:t xml:space="preserve">Ference BA, Julius S, Mahajan N, </w:t>
      </w:r>
      <w:r w:rsidR="00DF7917" w:rsidRPr="00DF7917">
        <w:rPr>
          <w:rFonts w:ascii="Calibri Light" w:hAnsi="Calibri Light"/>
          <w:i/>
          <w:iCs/>
        </w:rPr>
        <w:t>et al.</w:t>
      </w:r>
      <w:r w:rsidR="00DF7917" w:rsidRPr="00DF7917">
        <w:rPr>
          <w:rFonts w:ascii="Calibri Light" w:hAnsi="Calibri Light"/>
        </w:rPr>
        <w:t xml:space="preserve"> Clinical effect of naturally random allocation to lower systolic blood pressure beginning before the development of hypertension. </w:t>
      </w:r>
      <w:r w:rsidR="00DF7917" w:rsidRPr="00DF7917">
        <w:rPr>
          <w:rFonts w:ascii="Calibri Light" w:hAnsi="Calibri Light"/>
          <w:i/>
          <w:iCs/>
        </w:rPr>
        <w:t>Hypertension</w:t>
      </w:r>
      <w:r w:rsidR="00DF7917" w:rsidRPr="00DF7917">
        <w:rPr>
          <w:rFonts w:ascii="Calibri Light" w:hAnsi="Calibri Light"/>
        </w:rPr>
        <w:t xml:space="preserve"> 2014;</w:t>
      </w:r>
      <w:r w:rsidR="00DF7917" w:rsidRPr="00DF7917">
        <w:rPr>
          <w:rFonts w:ascii="Calibri Light" w:hAnsi="Calibri Light"/>
          <w:b/>
          <w:bCs/>
        </w:rPr>
        <w:t>63</w:t>
      </w:r>
      <w:r w:rsidR="00DF7917" w:rsidRPr="00DF7917">
        <w:rPr>
          <w:rFonts w:ascii="Calibri Light" w:hAnsi="Calibri Light"/>
        </w:rPr>
        <w:t>:1182–8. doi:10.1161/HYPERTENSIONAHA.113.02734</w:t>
      </w:r>
    </w:p>
    <w:p w14:paraId="5428821C" w14:textId="77777777" w:rsidR="00DF7917" w:rsidRPr="00DF7917" w:rsidRDefault="00DF7917" w:rsidP="00DF7917">
      <w:pPr>
        <w:pStyle w:val="Bibliography"/>
        <w:rPr>
          <w:rFonts w:ascii="Calibri Light" w:hAnsi="Calibri Light"/>
        </w:rPr>
      </w:pPr>
      <w:r w:rsidRPr="00DF7917">
        <w:rPr>
          <w:rFonts w:ascii="Calibri Light" w:hAnsi="Calibri Light"/>
        </w:rPr>
        <w:t xml:space="preserve">2 </w:t>
      </w:r>
      <w:r w:rsidRPr="00DF7917">
        <w:rPr>
          <w:rFonts w:ascii="Calibri Light" w:hAnsi="Calibri Light"/>
        </w:rPr>
        <w:tab/>
        <w:t>Rapid GWAS of thousands of phenotypes for 337,000 samples in the UK Biobank. Neale Lab. http://www.nealelab.is/blog/2017/7/19/rapid-gwas-of-thousands-of-phenotypes-for-337000-samples-in-the-uk-biobank (accessed 1 Aug 2018).</w:t>
      </w:r>
    </w:p>
    <w:p w14:paraId="31145945" w14:textId="77777777" w:rsidR="00DF7917" w:rsidRPr="00DF7917" w:rsidRDefault="00DF7917" w:rsidP="00DF7917">
      <w:pPr>
        <w:pStyle w:val="Bibliography"/>
        <w:rPr>
          <w:rFonts w:ascii="Calibri Light" w:hAnsi="Calibri Light"/>
        </w:rPr>
      </w:pPr>
      <w:r w:rsidRPr="00DF7917">
        <w:rPr>
          <w:rFonts w:ascii="Calibri Light" w:hAnsi="Calibri Light"/>
        </w:rPr>
        <w:t xml:space="preserve">3 </w:t>
      </w:r>
      <w:r w:rsidRPr="00DF7917">
        <w:rPr>
          <w:rFonts w:ascii="Calibri Light" w:hAnsi="Calibri Light"/>
        </w:rPr>
        <w:tab/>
        <w:t xml:space="preserve">Nikpay M, Goel A, Won H-H, </w:t>
      </w:r>
      <w:r w:rsidRPr="00DF7917">
        <w:rPr>
          <w:rFonts w:ascii="Calibri Light" w:hAnsi="Calibri Light"/>
          <w:i/>
          <w:iCs/>
        </w:rPr>
        <w:t>et al.</w:t>
      </w:r>
      <w:r w:rsidRPr="00DF7917">
        <w:rPr>
          <w:rFonts w:ascii="Calibri Light" w:hAnsi="Calibri Light"/>
        </w:rPr>
        <w:t xml:space="preserve"> A comprehensive 1,000 Genomes-based genome-wide association meta-analysis of coronary artery disease. </w:t>
      </w:r>
      <w:r w:rsidRPr="00DF7917">
        <w:rPr>
          <w:rFonts w:ascii="Calibri Light" w:hAnsi="Calibri Light"/>
          <w:i/>
          <w:iCs/>
        </w:rPr>
        <w:t>Nat Genet</w:t>
      </w:r>
      <w:r w:rsidRPr="00DF7917">
        <w:rPr>
          <w:rFonts w:ascii="Calibri Light" w:hAnsi="Calibri Light"/>
        </w:rPr>
        <w:t xml:space="preserve"> 2015;</w:t>
      </w:r>
      <w:r w:rsidRPr="00DF7917">
        <w:rPr>
          <w:rFonts w:ascii="Calibri Light" w:hAnsi="Calibri Light"/>
          <w:b/>
          <w:bCs/>
        </w:rPr>
        <w:t>47</w:t>
      </w:r>
      <w:r w:rsidRPr="00DF7917">
        <w:rPr>
          <w:rFonts w:ascii="Calibri Light" w:hAnsi="Calibri Light"/>
        </w:rPr>
        <w:t>:1121–30. doi:10.1038/ng.3396</w:t>
      </w:r>
    </w:p>
    <w:p w14:paraId="0B387715" w14:textId="74B17186" w:rsidR="002F175F" w:rsidRPr="0007601D" w:rsidRDefault="00A605E2" w:rsidP="00264A93">
      <w:r>
        <w:fldChar w:fldCharType="end"/>
      </w:r>
    </w:p>
    <w:sectPr w:rsidR="002F175F" w:rsidRPr="0007601D" w:rsidSect="007E4EB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52539"/>
    <w:multiLevelType w:val="hybridMultilevel"/>
    <w:tmpl w:val="52526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420674"/>
    <w:multiLevelType w:val="hybridMultilevel"/>
    <w:tmpl w:val="88F6B5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955E2A"/>
    <w:multiLevelType w:val="hybridMultilevel"/>
    <w:tmpl w:val="91C25566"/>
    <w:lvl w:ilvl="0" w:tplc="6F440D26">
      <w:start w:val="1"/>
      <w:numFmt w:val="decimal"/>
      <w:suff w:val="space"/>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C92850"/>
    <w:multiLevelType w:val="hybridMultilevel"/>
    <w:tmpl w:val="6CE616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3261EF"/>
    <w:multiLevelType w:val="hybridMultilevel"/>
    <w:tmpl w:val="6508735E"/>
    <w:lvl w:ilvl="0" w:tplc="4CBE964A">
      <w:start w:val="1"/>
      <w:numFmt w:val="decimal"/>
      <w:suff w:val="space"/>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1B1"/>
    <w:rsid w:val="00064C53"/>
    <w:rsid w:val="00074FB1"/>
    <w:rsid w:val="0007601D"/>
    <w:rsid w:val="000F6326"/>
    <w:rsid w:val="00115E60"/>
    <w:rsid w:val="00164128"/>
    <w:rsid w:val="00177D93"/>
    <w:rsid w:val="00264A93"/>
    <w:rsid w:val="0029049C"/>
    <w:rsid w:val="002F175F"/>
    <w:rsid w:val="002F5FA8"/>
    <w:rsid w:val="0043201F"/>
    <w:rsid w:val="00455546"/>
    <w:rsid w:val="004E750B"/>
    <w:rsid w:val="00513FC3"/>
    <w:rsid w:val="0051667D"/>
    <w:rsid w:val="00561743"/>
    <w:rsid w:val="005B7F60"/>
    <w:rsid w:val="0060596A"/>
    <w:rsid w:val="00744FE3"/>
    <w:rsid w:val="007E4EB9"/>
    <w:rsid w:val="00812DA0"/>
    <w:rsid w:val="00834C4D"/>
    <w:rsid w:val="0087589A"/>
    <w:rsid w:val="00A101B1"/>
    <w:rsid w:val="00A605E2"/>
    <w:rsid w:val="00AF0383"/>
    <w:rsid w:val="00B10385"/>
    <w:rsid w:val="00B4492C"/>
    <w:rsid w:val="00BB26AE"/>
    <w:rsid w:val="00C266B4"/>
    <w:rsid w:val="00C91165"/>
    <w:rsid w:val="00C93F5F"/>
    <w:rsid w:val="00CC5B93"/>
    <w:rsid w:val="00CC5CAA"/>
    <w:rsid w:val="00D30087"/>
    <w:rsid w:val="00DF7917"/>
    <w:rsid w:val="00E04FE4"/>
    <w:rsid w:val="00EA3BA6"/>
    <w:rsid w:val="00FF63D7"/>
    <w:rsid w:val="00FF7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361A1"/>
  <w15:chartTrackingRefBased/>
  <w15:docId w15:val="{422E664B-D933-4C74-8D50-E4BB18FD3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4A93"/>
    <w:pPr>
      <w:spacing w:after="0" w:line="240" w:lineRule="auto"/>
      <w:contextualSpacing/>
    </w:pPr>
    <w:rPr>
      <w:rFonts w:asciiTheme="majorHAnsi" w:hAnsiTheme="majorHAnsi"/>
      <w:sz w:val="24"/>
      <w:szCs w:val="24"/>
      <w:lang w:val="en-GB"/>
    </w:rPr>
  </w:style>
  <w:style w:type="paragraph" w:styleId="Heading1">
    <w:name w:val="heading 1"/>
    <w:basedOn w:val="Normal"/>
    <w:next w:val="Normal"/>
    <w:link w:val="Heading1Char"/>
    <w:uiPriority w:val="9"/>
    <w:qFormat/>
    <w:rsid w:val="0007601D"/>
    <w:pPr>
      <w:keepNext/>
      <w:keepLines/>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4EB9"/>
    <w:pPr>
      <w:keepNext/>
      <w:keepLines/>
      <w:outlineLvl w:val="1"/>
    </w:pPr>
    <w:rPr>
      <w:rFonts w:eastAsiaTheme="majorEastAsia"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E04FE4"/>
    <w:pPr>
      <w:keepNext/>
      <w:keepLines/>
      <w:spacing w:before="40"/>
      <w:outlineLvl w:val="2"/>
    </w:pPr>
    <w:rPr>
      <w:rFonts w:eastAsiaTheme="majorEastAsia" w:cstheme="majorBidi"/>
      <w:color w:val="1F3864" w:themeColor="accent1" w:themeShade="80"/>
    </w:rPr>
  </w:style>
  <w:style w:type="paragraph" w:styleId="Heading4">
    <w:name w:val="heading 4"/>
    <w:basedOn w:val="Normal"/>
    <w:next w:val="Normal"/>
    <w:link w:val="Heading4Char"/>
    <w:uiPriority w:val="9"/>
    <w:unhideWhenUsed/>
    <w:qFormat/>
    <w:rsid w:val="00E04FE4"/>
    <w:pPr>
      <w:keepNext/>
      <w:keepLines/>
      <w:spacing w:before="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4FE4"/>
    <w:pPr>
      <w:keepNext/>
      <w:keepLines/>
      <w:spacing w:before="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4FE4"/>
    <w:pPr>
      <w:keepNext/>
      <w:keepLines/>
      <w:spacing w:before="40"/>
      <w:outlineLvl w:val="5"/>
    </w:pPr>
    <w:rPr>
      <w:rFonts w:eastAsiaTheme="majorEastAsia" w:cstheme="majorBidi"/>
      <w:color w:val="1F3864" w:themeColor="accent1" w:themeShade="80"/>
    </w:rPr>
  </w:style>
  <w:style w:type="paragraph" w:styleId="Heading7">
    <w:name w:val="heading 7"/>
    <w:basedOn w:val="Normal"/>
    <w:next w:val="Normal"/>
    <w:link w:val="Heading7Char"/>
    <w:uiPriority w:val="9"/>
    <w:semiHidden/>
    <w:unhideWhenUsed/>
    <w:qFormat/>
    <w:rsid w:val="00E04FE4"/>
    <w:pPr>
      <w:keepNext/>
      <w:keepLines/>
      <w:spacing w:before="40"/>
      <w:outlineLvl w:val="6"/>
    </w:pPr>
    <w:rPr>
      <w:rFonts w:eastAsiaTheme="majorEastAsia" w:cstheme="majorBidi"/>
      <w:i/>
      <w:iCs/>
      <w:color w:val="1F3864" w:themeColor="accent1" w:themeShade="80"/>
    </w:rPr>
  </w:style>
  <w:style w:type="paragraph" w:styleId="Heading8">
    <w:name w:val="heading 8"/>
    <w:basedOn w:val="Normal"/>
    <w:next w:val="Normal"/>
    <w:link w:val="Heading8Char"/>
    <w:uiPriority w:val="9"/>
    <w:semiHidden/>
    <w:unhideWhenUsed/>
    <w:qFormat/>
    <w:rsid w:val="00E04FE4"/>
    <w:pPr>
      <w:keepNext/>
      <w:keepLines/>
      <w:spacing w:before="40"/>
      <w:outlineLvl w:val="7"/>
    </w:pPr>
    <w:rPr>
      <w:rFonts w:eastAsiaTheme="majorEastAsia"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E04FE4"/>
    <w:pPr>
      <w:keepNext/>
      <w:keepLines/>
      <w:spacing w:before="40"/>
      <w:outlineLvl w:val="8"/>
    </w:pPr>
    <w:rPr>
      <w:rFonts w:eastAsiaTheme="majorEastAsia"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01D"/>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7E4EB9"/>
    <w:rPr>
      <w:rFonts w:asciiTheme="majorHAnsi" w:eastAsiaTheme="majorEastAsia" w:hAnsiTheme="majorHAnsi" w:cstheme="majorBidi"/>
      <w:color w:val="2F5496" w:themeColor="accent1" w:themeShade="BF"/>
      <w:sz w:val="28"/>
      <w:szCs w:val="28"/>
      <w:lang w:val="en-GB"/>
    </w:rPr>
  </w:style>
  <w:style w:type="character" w:customStyle="1" w:styleId="Heading3Char">
    <w:name w:val="Heading 3 Char"/>
    <w:basedOn w:val="DefaultParagraphFont"/>
    <w:link w:val="Heading3"/>
    <w:uiPriority w:val="9"/>
    <w:rsid w:val="00E04FE4"/>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rsid w:val="00E04F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04F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4FE4"/>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E04FE4"/>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E04FE4"/>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E04FE4"/>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E04FE4"/>
    <w:pPr>
      <w:spacing w:after="200"/>
    </w:pPr>
    <w:rPr>
      <w:i/>
      <w:iCs/>
      <w:color w:val="44546A" w:themeColor="text2"/>
      <w:sz w:val="18"/>
      <w:szCs w:val="18"/>
    </w:rPr>
  </w:style>
  <w:style w:type="paragraph" w:styleId="Title">
    <w:name w:val="Title"/>
    <w:basedOn w:val="Normal"/>
    <w:next w:val="Normal"/>
    <w:link w:val="TitleChar"/>
    <w:uiPriority w:val="10"/>
    <w:qFormat/>
    <w:rsid w:val="00E04FE4"/>
    <w:rPr>
      <w:rFonts w:eastAsiaTheme="majorEastAsia" w:cstheme="majorBidi"/>
      <w:spacing w:val="-10"/>
      <w:sz w:val="56"/>
      <w:szCs w:val="56"/>
    </w:rPr>
  </w:style>
  <w:style w:type="character" w:customStyle="1" w:styleId="TitleChar">
    <w:name w:val="Title Char"/>
    <w:basedOn w:val="DefaultParagraphFont"/>
    <w:link w:val="Title"/>
    <w:uiPriority w:val="10"/>
    <w:rsid w:val="00E04FE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E04FE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04FE4"/>
    <w:rPr>
      <w:color w:val="5A5A5A" w:themeColor="text1" w:themeTint="A5"/>
      <w:spacing w:val="15"/>
    </w:rPr>
  </w:style>
  <w:style w:type="character" w:styleId="Strong">
    <w:name w:val="Strong"/>
    <w:basedOn w:val="DefaultParagraphFont"/>
    <w:uiPriority w:val="22"/>
    <w:qFormat/>
    <w:rsid w:val="00E04FE4"/>
    <w:rPr>
      <w:b/>
      <w:bCs/>
      <w:color w:val="auto"/>
    </w:rPr>
  </w:style>
  <w:style w:type="character" w:styleId="Emphasis">
    <w:name w:val="Emphasis"/>
    <w:basedOn w:val="DefaultParagraphFont"/>
    <w:uiPriority w:val="20"/>
    <w:qFormat/>
    <w:rsid w:val="00E04FE4"/>
    <w:rPr>
      <w:i/>
      <w:iCs/>
      <w:color w:val="auto"/>
    </w:rPr>
  </w:style>
  <w:style w:type="paragraph" w:styleId="NoSpacing">
    <w:name w:val="No Spacing"/>
    <w:uiPriority w:val="1"/>
    <w:qFormat/>
    <w:rsid w:val="00E04FE4"/>
    <w:pPr>
      <w:spacing w:after="0" w:line="240" w:lineRule="auto"/>
    </w:pPr>
  </w:style>
  <w:style w:type="paragraph" w:styleId="ListParagraph">
    <w:name w:val="List Paragraph"/>
    <w:basedOn w:val="Normal"/>
    <w:uiPriority w:val="34"/>
    <w:qFormat/>
    <w:rsid w:val="00E04FE4"/>
    <w:pPr>
      <w:ind w:left="720"/>
    </w:pPr>
  </w:style>
  <w:style w:type="paragraph" w:styleId="Quote">
    <w:name w:val="Quote"/>
    <w:basedOn w:val="Normal"/>
    <w:next w:val="Normal"/>
    <w:link w:val="QuoteChar"/>
    <w:uiPriority w:val="29"/>
    <w:qFormat/>
    <w:rsid w:val="00E04FE4"/>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E04FE4"/>
    <w:rPr>
      <w:i/>
      <w:iCs/>
      <w:color w:val="404040" w:themeColor="text1" w:themeTint="BF"/>
    </w:rPr>
  </w:style>
  <w:style w:type="paragraph" w:styleId="IntenseQuote">
    <w:name w:val="Intense Quote"/>
    <w:basedOn w:val="Normal"/>
    <w:next w:val="Normal"/>
    <w:link w:val="IntenseQuoteChar"/>
    <w:uiPriority w:val="30"/>
    <w:qFormat/>
    <w:rsid w:val="00E04FE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04FE4"/>
    <w:rPr>
      <w:i/>
      <w:iCs/>
      <w:color w:val="4472C4" w:themeColor="accent1"/>
    </w:rPr>
  </w:style>
  <w:style w:type="character" w:styleId="SubtleEmphasis">
    <w:name w:val="Subtle Emphasis"/>
    <w:basedOn w:val="DefaultParagraphFont"/>
    <w:uiPriority w:val="19"/>
    <w:qFormat/>
    <w:rsid w:val="00E04FE4"/>
    <w:rPr>
      <w:i/>
      <w:iCs/>
      <w:color w:val="404040" w:themeColor="text1" w:themeTint="BF"/>
    </w:rPr>
  </w:style>
  <w:style w:type="character" w:styleId="IntenseEmphasis">
    <w:name w:val="Intense Emphasis"/>
    <w:basedOn w:val="DefaultParagraphFont"/>
    <w:uiPriority w:val="21"/>
    <w:qFormat/>
    <w:rsid w:val="00E04FE4"/>
    <w:rPr>
      <w:i/>
      <w:iCs/>
      <w:color w:val="4472C4" w:themeColor="accent1"/>
    </w:rPr>
  </w:style>
  <w:style w:type="character" w:styleId="SubtleReference">
    <w:name w:val="Subtle Reference"/>
    <w:basedOn w:val="DefaultParagraphFont"/>
    <w:uiPriority w:val="31"/>
    <w:qFormat/>
    <w:rsid w:val="00E04FE4"/>
    <w:rPr>
      <w:smallCaps/>
      <w:color w:val="404040" w:themeColor="text1" w:themeTint="BF"/>
    </w:rPr>
  </w:style>
  <w:style w:type="character" w:styleId="IntenseReference">
    <w:name w:val="Intense Reference"/>
    <w:basedOn w:val="DefaultParagraphFont"/>
    <w:uiPriority w:val="32"/>
    <w:qFormat/>
    <w:rsid w:val="00E04FE4"/>
    <w:rPr>
      <w:b/>
      <w:bCs/>
      <w:smallCaps/>
      <w:color w:val="4472C4" w:themeColor="accent1"/>
      <w:spacing w:val="5"/>
    </w:rPr>
  </w:style>
  <w:style w:type="character" w:styleId="BookTitle">
    <w:name w:val="Book Title"/>
    <w:basedOn w:val="DefaultParagraphFont"/>
    <w:uiPriority w:val="33"/>
    <w:qFormat/>
    <w:rsid w:val="00E04FE4"/>
    <w:rPr>
      <w:b/>
      <w:bCs/>
      <w:i/>
      <w:iCs/>
      <w:spacing w:val="5"/>
    </w:rPr>
  </w:style>
  <w:style w:type="paragraph" w:styleId="TOCHeading">
    <w:name w:val="TOC Heading"/>
    <w:basedOn w:val="Heading1"/>
    <w:next w:val="Normal"/>
    <w:uiPriority w:val="39"/>
    <w:unhideWhenUsed/>
    <w:qFormat/>
    <w:rsid w:val="00E04FE4"/>
    <w:pPr>
      <w:outlineLvl w:val="9"/>
    </w:pPr>
  </w:style>
  <w:style w:type="table" w:styleId="TableGrid">
    <w:name w:val="Table Grid"/>
    <w:basedOn w:val="TableNormal"/>
    <w:uiPriority w:val="39"/>
    <w:rsid w:val="00A10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0087"/>
    <w:rPr>
      <w:color w:val="0563C1" w:themeColor="hyperlink"/>
      <w:u w:val="single"/>
    </w:rPr>
  </w:style>
  <w:style w:type="character" w:styleId="UnresolvedMention">
    <w:name w:val="Unresolved Mention"/>
    <w:basedOn w:val="DefaultParagraphFont"/>
    <w:uiPriority w:val="99"/>
    <w:semiHidden/>
    <w:unhideWhenUsed/>
    <w:rsid w:val="00D30087"/>
    <w:rPr>
      <w:color w:val="605E5C"/>
      <w:shd w:val="clear" w:color="auto" w:fill="E1DFDD"/>
    </w:rPr>
  </w:style>
  <w:style w:type="paragraph" w:styleId="Bibliography">
    <w:name w:val="Bibliography"/>
    <w:basedOn w:val="Normal"/>
    <w:next w:val="Normal"/>
    <w:uiPriority w:val="37"/>
    <w:unhideWhenUsed/>
    <w:rsid w:val="00A605E2"/>
    <w:pPr>
      <w:tabs>
        <w:tab w:val="left" w:pos="264"/>
      </w:tabs>
      <w:spacing w:after="240"/>
      <w:ind w:left="264" w:hanging="264"/>
    </w:pPr>
  </w:style>
  <w:style w:type="paragraph" w:styleId="BalloonText">
    <w:name w:val="Balloon Text"/>
    <w:basedOn w:val="Normal"/>
    <w:link w:val="BalloonTextChar"/>
    <w:uiPriority w:val="99"/>
    <w:semiHidden/>
    <w:unhideWhenUsed/>
    <w:rsid w:val="001641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128"/>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296329">
      <w:bodyDiv w:val="1"/>
      <w:marLeft w:val="0"/>
      <w:marRight w:val="0"/>
      <w:marTop w:val="0"/>
      <w:marBottom w:val="0"/>
      <w:divBdr>
        <w:top w:val="none" w:sz="0" w:space="0" w:color="auto"/>
        <w:left w:val="none" w:sz="0" w:space="0" w:color="auto"/>
        <w:bottom w:val="none" w:sz="0" w:space="0" w:color="auto"/>
        <w:right w:val="none" w:sz="0" w:space="0" w:color="auto"/>
      </w:divBdr>
    </w:div>
    <w:div w:id="157944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rbas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2095</Words>
  <Characters>11947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VMW</dc:creator>
  <cp:keywords/>
  <dc:description/>
  <cp:lastModifiedBy>VMW</cp:lastModifiedBy>
  <cp:revision>11</cp:revision>
  <dcterms:created xsi:type="dcterms:W3CDTF">2018-10-08T08:54:00Z</dcterms:created>
  <dcterms:modified xsi:type="dcterms:W3CDTF">2019-01-11T15:53:00Z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zotero-version="5.0.34"&gt;&lt;session id="1FzV2hCW"/&gt;&lt;style id="http://www.zotero.org/styles/bmj-open" hasBibliography="1" bibliographyStyleHasBeenSet="1"/&gt;&lt;prefs&gt;&lt;pref name="fieldType" value="Field"/&gt;&lt;pref name="automaticJournalAbbrevia</vt:lpwstr>
  </property>
  <property fmtid="{D5CDD505-2E9C-101B-9397-08002B2CF9AE}" pid="3" name="ZOTERO_PREF_2">
    <vt:lpwstr>tions" value="true"/&gt;&lt;pref name="noteType" value="0"/&gt;&lt;/prefs&gt;&lt;/data&gt;</vt:lpwstr>
  </property>
</Properties>
</file>