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5D15C" w14:textId="241A57DC" w:rsidR="00A101B1" w:rsidRPr="0007601D" w:rsidRDefault="00A101B1" w:rsidP="00264A93">
      <w:pPr>
        <w:pStyle w:val="Heading1"/>
      </w:pPr>
      <w:r w:rsidRPr="0007601D">
        <w:t xml:space="preserve">Case Study </w:t>
      </w:r>
      <w:r w:rsidR="0018025E">
        <w:t>3</w:t>
      </w:r>
      <w:r w:rsidR="00B02297">
        <w:t xml:space="preserve">: </w:t>
      </w:r>
      <w:r w:rsidR="000A00BF">
        <w:t>HMGCR and type 2 diabetes</w:t>
      </w:r>
    </w:p>
    <w:p w14:paraId="5093E172" w14:textId="69C93B66" w:rsidR="0007601D" w:rsidRDefault="0007601D" w:rsidP="00264A93">
      <w:pPr>
        <w:pStyle w:val="ListParagraph"/>
      </w:pPr>
    </w:p>
    <w:p w14:paraId="67F8B110" w14:textId="68D8F039" w:rsidR="0007601D" w:rsidRPr="00264A93" w:rsidRDefault="000A00BF" w:rsidP="00264A93">
      <w:r>
        <w:t xml:space="preserve">This case study demonstrates how MR-Base can be used to replicate a study and appraise a potential intervention. It is based on </w:t>
      </w:r>
      <w:r w:rsidRPr="00960655">
        <w:t xml:space="preserve">work by </w:t>
      </w:r>
      <w:proofErr w:type="spellStart"/>
      <w:r>
        <w:t>Swerdlow</w:t>
      </w:r>
      <w:proofErr w:type="spellEnd"/>
      <w:r w:rsidRPr="00960655">
        <w:t xml:space="preserve"> et al that </w:t>
      </w:r>
      <w:r>
        <w:t xml:space="preserve">investigated the effect of </w:t>
      </w:r>
      <w:r w:rsidRPr="00754D6D">
        <w:t>3-hydroxy-3-methylglutaryl-CoA reductase (HMGCR)</w:t>
      </w:r>
      <w:r>
        <w:t xml:space="preserve">, the target of statins, on risk of type 2 diabetes. </w:t>
      </w:r>
      <w:r w:rsidR="0018025E">
        <w:fldChar w:fldCharType="begin"/>
      </w:r>
      <w:r w:rsidR="0018025E">
        <w:instrText xml:space="preserve"> ADDIN ZOTERO_ITEM CSL_CITATION {"citationID":"eAB2wtVq","properties":{"formattedCitation":"[1]","plainCitation":"[1]"},"citationItems":[{"id":557,"uris":["http://zotero.org/users/2782891/items/8CST7BUM"],"uri":["http://zotero.org/users/2782891/items/8CST7BUM"],"itemData":{"id":557,"type":"article-journal","title":"HMG-coenzyme A reductase inhibition, type 2 diabetes, and bodyweight: evidence from genetic analysis and randomised trials","container-title":"The Lancet","page":"351-361","volume":"385","issue":"9965","source":"PubMed","abstract":"BACKGROUND: Statins increase the risk of new-onset type 2 diabetes mellitus. We aimed to assess whether this increase in risk is a consequence of inhibition of 3-hydroxy-3-methylglutaryl-CoA reductase (HMGCR), the intended drug target.\nMETHODS: We used single nucleotide polymorphisms in the HMGCR gene, rs17238484 (for the main analysis) and rs12916 (for a subsidiary analysis) as proxies for HMGCR inhibition by statins. We examined associations of these variants with plasma lipid, glucose, and insulin concentrations; bodyweight; waist circumference; and prevalent and incident type 2 diabetes. Study-specific effect estimates per copy of each LDL-lowering allele were pooled by meta-analysis. These findings were compared with a meta-analysis of new-onset type 2 diabetes and bodyweight change data from randomised trials of statin drugs. The effects of statins in each randomised trial were assessed using meta-analysis.\nFINDINGS: Data were available for up to 223 463 individuals from 43 genetic studies. Each additional rs17238484-G allele was associated with a mean 0·06 mmol/L (95% CI 0·05-0·07) lower LDL cholesterol and higher body weight (0·30 kg, 0·18-0·43), waist circumference (0·32 cm, 0·16-0·47), plasma insulin concentration (1·62%, 0·53-2·72), and plasma glucose concentration (0·23%, 0·02-0·44). The rs12916 SNP had similar effects on LDL cholesterol, bodyweight, and waist circumference. The rs17238484-G allele seemed to be associated with higher risk of type 2 diabetes (odds ratio [OR] per allele 1·02, 95% CI 1·00-1·05); the rs12916-T allele association was consistent (1·06, 1·03-1·09). In 129 170 individuals in randomised trials, statins lowered LDL cholesterol by 0·92 mmol/L (95% CI 0·18-1·67) at 1-year of follow-up, increased bodyweight by 0·24 kg (95% CI 0·10-0·38 in all trials; 0·33 kg, 95% CI 0·24-0·42 in placebo or standard care controlled trials and -0·15 kg, 95% CI -0·39 to 0·08 in intensive-dose vs moderate-dose trials) at a mean of 4·2 years (range 1·9-6·7) of follow-up, and increased the odds of new-onset type 2 diabetes (OR 1·12, 95% CI 1·06-1·18 in all trials; 1·11, 95% CI 1·03-1·20 in placebo or standard care controlled trials and 1·12, 95% CI 1·04-1·22 in intensive-dose vs moderate dose trials).\nINTERPRETATION: The increased risk of type 2 diabetes noted with statins is at least partially explained by HMGCR inhibition.\nFUNDING: The funding sources are cited at the end of the paper.","DOI":"10.1016/S0140-6736(14)61183-1","ISSN":"1474-547X","note":"PMID: 25262344\nPMCID: PMC4322187","shortTitle":"HMG-coenzyme A reductase inhibition, type 2 diabetes, and bodyweight","journalAbbreviation":"Lancet","language":"eng","author":[{"family":"Swerdlow","given":"Daniel I."},{"family":"Preiss","given":"David"},{"family":"Kuchenbaecker","given":"Karoline B."},{"family":"Holmes","given":"Michael V."},{"family":"Engmann","given":"Jorgen E. L."},{"family":"Shah","given":"Tina"},{"family":"Sofat","given":"Reecha"},{"family":"Stender","given":"Stefan"},{"family":"Johnson","given":"Paul C. D."},{"family":"Scott","given":"Robert A."},{"family":"Leusink","given":"Maarten"},{"family":"Verweij","given":"Niek"},{"family":"Sharp","given":"Stephen J."},{"family":"Guo","given":"Yiran"},{"family":"Giambartolomei","given":"Claudia"},{"family":"Chung","given":"Christina"},{"family":"Peasey","given":"Anne"},{"family":"Amuzu","given":"Antoinette"},{"family":"Li","given":"KaWah"},{"family":"Palmen","given":"Jutta"},{"family":"Howard","given":"Philip"},{"family":"Cooper","given":"Jackie A."},{"family":"Drenos","given":"Fotios"},{"family":"Li","given":"Yun R."},{"family":"Lowe","given":"Gordon"},{"family":"Gallacher","given":"John"},{"family":"Stewart","given":"Marlene C. W."},{"family":"Tzoulaki","given":"Ioanna"},{"family":"Buxbaum","given":"Sarah G."},{"family":"A","given":"Daphne L.","non-dropping-particle":"van der"},{"family":"Forouhi","given":"Nita G."},{"family":"Onland-Moret","given":"N. Charlotte"},{"family":"Schouw","given":"Yvonne T.","non-dropping-particle":"van der"},{"family":"Schnabel","given":"Renate B."},{"family":"Hubacek","given":"Jaroslav A."},{"family":"Kubinova","given":"Ruzena"},{"family":"Baceviciene","given":"Migle"},{"family":"Tamosiunas","given":"Abdonas"},{"family":"Pajak","given":"Andrzej"},{"family":"Topor-Madry","given":"Roman"},{"family":"Stepaniak","given":"Urszula"},{"family":"Malyutina","given":"Sofia"},{"family":"Baldassarre","given":"Damiano"},{"family":"Sennblad","given":"Bengt"},{"family":"Tremoli","given":"Elena"},{"family":"Faire","given":"Ulf","non-dropping-particle":"de"},{"family":"Veglia","given":"Fabrizio"},{"family":"Ford","given":"Ian"},{"family":"Jukema","given":"J. Wouter"},{"family":"Westendorp","given":"Rudi G. J."},{"family":"Borst","given":"Gert Jan","non-dropping-particle":"de"},{"family":"Jong","given":"Pim A.","non-dropping-particle":"de"},{"family":"Algra","given":"Ale"},{"family":"Spiering","given":"Wilko"},{"family":"Maitland-van der Zee","given":"Anke H."},{"family":"Klungel","given":"Olaf H."},{"family":"Boer","given":"Anthonius","non-dropping-particle":"de"},{"family":"Doevendans","given":"Pieter A."},{"family":"Eaton","given":"Charles B."},{"family":"Robinson","given":"Jennifer G."},{"family":"Duggan","given":"David"},{"literal":"DIAGRAM Consortium"},{"literal":"MAGIC Consortium"},{"literal":"InterAct Consortium"},{"family":"Kjekshus","given":"John"},{"family":"Downs","given":"John R."},{"family":"Gotto","given":"Antonio M."},{"family":"Keech","given":"Anthony C."},{"family":"Marchioli","given":"Roberto"},{"family":"Tognoni","given":"Gianni"},{"family":"Sever","given":"Peter S."},{"family":"Poulter","given":"Neil R."},{"family":"Waters","given":"David D."},{"family":"Pedersen","given":"Terje R."},{"family":"Amarenco","given":"Pierre"},{"family":"Nakamura","given":"Haruo"},{"family":"McMurray","given":"John J. V."},{"family":"Lewsey","given":"James D."},{"family":"Chasman","given":"Daniel I."},{"family":"Ridker","given":"Paul M."},{"family":"Maggioni","given":"Aldo P."},{"family":"Tavazzi","given":"Luigi"},{"family":"Ray","given":"Kausik K."},{"family":"Seshasai","given":"Sreenivasa Rao Kondapally"},{"family":"Manson","given":"JoAnn E."},{"family":"Price","given":"Jackie F."},{"family":"Whincup","given":"Peter H."},{"family":"Morris","given":"Richard W."},{"family":"Lawlor","given":"Debbie A."},{"family":"Davey Smith","given":"George"},{"family":"Ben-Shlomo","given":"Yoav"},{"family":"Schreiner","given":"Pamela J."},{"family":"Fornage","given":"Myriam"},{"family":"Siscovick","given":"David S."},{"family":"Cushman","given":"Mary"},{"family":"Kumari","given":"Meena"},{"family":"Wareham","given":"Nick J."},{"family":"Verschuren","given":"W. M. Monique"},{"family":"Redline","given":"Susan"},{"family":"Patel","given":"Sanjay R."},{"family":"Whittaker","given":"John C."},{"family":"Hamsten","given":"Anders"},{"family":"Delaney","given":"Joseph A."},{"family":"Dale","given":"Caroline"},{"family":"Gaunt","given":"Tom R."},{"family":"Wong","given":"Andrew"},{"family":"Kuh","given":"Diana"},{"family":"Hardy","given":"Rebecca"},{"family":"Kathiresan","given":"Sekar"},{"family":"Castillo","given":"Berta A."},{"family":"Harst","given":"Pim","non-dropping-particle":"van der"},{"family":"Brunner","given":"Eric J."},{"family":"Tybjaerg-Hansen","given":"Anne"},{"family":"Marmot","given":"Michael G."},{"family":"Krauss","given":"Ronald M."},{"family":"Tsai","given":"Michael"},{"family":"Coresh","given":"Josef"},{"family":"Hoogeveen","given":"Ronald C."},{"family":"Psaty","given":"Bruce M."},{"family":"Lange","given":"Leslie A."},{"family":"Hakonarson","given":"Hakon"},{"family":"Dudbridge","given":"Frank"},{"family":"Humphries","given":"Steve E."},{"family":"Talmud","given":"Philippa J."},{"family":"Kivimäki","given":"Mika"},{"family":"Timpson","given":"Nicholas J."},{"family":"Langenberg","given":"Claudia"},{"family":"Asselbergs","given":"Folkert W."},{"family":"Voevoda","given":"Mikhail"},{"family":"Bobak","given":"Martin"},{"family":"Pikhart","given":"Hynek"},{"family":"Wilson","given":"James G."},{"family":"Reiner","given":"Alex P."},{"family":"Keating","given":"Brendan J."},{"family":"Hingorani","given":"Aroon D."},{"family":"Sattar","given":"Naveed"}],"issued":{"date-parts":[["2015",1,24]]}}}],"schema":"https://github.com/citation-style-language/schema/raw/master/csl-citation.json"} </w:instrText>
      </w:r>
      <w:r w:rsidR="0018025E">
        <w:fldChar w:fldCharType="separate"/>
      </w:r>
      <w:r w:rsidR="0018025E" w:rsidRPr="0018025E">
        <w:rPr>
          <w:rFonts w:ascii="Calibri Light" w:hAnsi="Calibri Light"/>
        </w:rPr>
        <w:t>[1]</w:t>
      </w:r>
      <w:r w:rsidR="0018025E">
        <w:fldChar w:fldCharType="end"/>
      </w:r>
    </w:p>
    <w:p w14:paraId="00FC3D32" w14:textId="77777777" w:rsidR="0007601D" w:rsidRDefault="0007601D" w:rsidP="00264A93">
      <w:pPr>
        <w:pStyle w:val="ListParagraph"/>
      </w:pPr>
    </w:p>
    <w:p w14:paraId="6AF24D43" w14:textId="4252B814" w:rsidR="0007601D" w:rsidRPr="007E4EB9" w:rsidRDefault="0007601D" w:rsidP="00264A93">
      <w:pPr>
        <w:pStyle w:val="Heading2"/>
      </w:pPr>
      <w:r w:rsidRPr="007E4EB9">
        <w:t>Methods</w:t>
      </w:r>
    </w:p>
    <w:p w14:paraId="27E66D5B" w14:textId="77777777" w:rsidR="0007601D" w:rsidRDefault="0007601D" w:rsidP="00264A93">
      <w:pPr>
        <w:pStyle w:val="ListParagraph"/>
      </w:pPr>
    </w:p>
    <w:p w14:paraId="637DED84" w14:textId="77777777" w:rsidR="00D30087" w:rsidRDefault="00D30087" w:rsidP="00264A93">
      <w:pPr>
        <w:pStyle w:val="ListParagraph"/>
        <w:numPr>
          <w:ilvl w:val="0"/>
          <w:numId w:val="5"/>
        </w:numPr>
      </w:pPr>
      <w:r>
        <w:t>Access the platform (</w:t>
      </w:r>
      <w:hyperlink r:id="rId5" w:history="1">
        <w:r w:rsidRPr="009D4D96">
          <w:rPr>
            <w:rStyle w:val="Hyperlink"/>
          </w:rPr>
          <w:t>http://mrbase.org</w:t>
        </w:r>
      </w:hyperlink>
      <w:r>
        <w:t>) and sign the data access agreement using a Google account.</w:t>
      </w:r>
    </w:p>
    <w:p w14:paraId="3B55BAC8" w14:textId="77777777" w:rsidR="00D30087" w:rsidRPr="00D30087" w:rsidRDefault="00D30087" w:rsidP="00264A93">
      <w:pPr>
        <w:pStyle w:val="ListParagraph"/>
      </w:pPr>
    </w:p>
    <w:p w14:paraId="2B53E90B" w14:textId="3F3633C4" w:rsidR="00A101B1" w:rsidRPr="00D30087" w:rsidRDefault="00D30087" w:rsidP="00264A93">
      <w:pPr>
        <w:pStyle w:val="ListParagraph"/>
        <w:numPr>
          <w:ilvl w:val="0"/>
          <w:numId w:val="5"/>
        </w:numPr>
      </w:pPr>
      <w:r w:rsidRPr="00D30087">
        <w:t xml:space="preserve">Define the exposure by </w:t>
      </w:r>
      <w:r w:rsidR="0018025E">
        <w:t>uploading the file ‘</w:t>
      </w:r>
      <w:r w:rsidR="003D7823">
        <w:t>CaseStudy3_</w:t>
      </w:r>
      <w:r w:rsidR="0018025E">
        <w:t>instrument.csv’ included in this supplement. Specify that the file is separated by commas and fill in the form to map the column names to those supplied in the file. Columns not included in the file can be left blank in the mapping. The instrument file should look like the following table:</w:t>
      </w:r>
    </w:p>
    <w:p w14:paraId="11C0F3B3" w14:textId="322452A7" w:rsidR="00A605E2" w:rsidRDefault="00A605E2" w:rsidP="0018025E"/>
    <w:tbl>
      <w:tblPr>
        <w:tblStyle w:val="TableGrid"/>
        <w:tblW w:w="0" w:type="auto"/>
        <w:tblLook w:val="04A0" w:firstRow="1" w:lastRow="0" w:firstColumn="1" w:lastColumn="0" w:noHBand="0" w:noVBand="1"/>
      </w:tblPr>
      <w:tblGrid>
        <w:gridCol w:w="1259"/>
        <w:gridCol w:w="1365"/>
        <w:gridCol w:w="1407"/>
        <w:gridCol w:w="1375"/>
        <w:gridCol w:w="1030"/>
        <w:gridCol w:w="930"/>
        <w:gridCol w:w="1132"/>
        <w:gridCol w:w="1136"/>
        <w:gridCol w:w="822"/>
      </w:tblGrid>
      <w:tr w:rsidR="0018025E" w:rsidRPr="0018025E" w14:paraId="58477065" w14:textId="77777777" w:rsidTr="0018025E">
        <w:tc>
          <w:tcPr>
            <w:tcW w:w="1259" w:type="dxa"/>
          </w:tcPr>
          <w:p w14:paraId="5F49C005" w14:textId="77777777" w:rsidR="0018025E" w:rsidRPr="0018025E" w:rsidRDefault="0018025E" w:rsidP="00AF33B8">
            <w:r w:rsidRPr="0018025E">
              <w:t>Phenotype</w:t>
            </w:r>
          </w:p>
        </w:tc>
        <w:tc>
          <w:tcPr>
            <w:tcW w:w="1365" w:type="dxa"/>
          </w:tcPr>
          <w:p w14:paraId="2B58712F" w14:textId="77777777" w:rsidR="0018025E" w:rsidRPr="0018025E" w:rsidRDefault="0018025E" w:rsidP="00AF33B8">
            <w:r w:rsidRPr="0018025E">
              <w:t>SNP</w:t>
            </w:r>
          </w:p>
        </w:tc>
        <w:tc>
          <w:tcPr>
            <w:tcW w:w="1407" w:type="dxa"/>
          </w:tcPr>
          <w:p w14:paraId="7AFAEB17" w14:textId="77777777" w:rsidR="0018025E" w:rsidRPr="0018025E" w:rsidRDefault="0018025E" w:rsidP="00AF33B8">
            <w:proofErr w:type="spellStart"/>
            <w:r w:rsidRPr="0018025E">
              <w:t>effect_allele</w:t>
            </w:r>
            <w:proofErr w:type="spellEnd"/>
          </w:p>
        </w:tc>
        <w:tc>
          <w:tcPr>
            <w:tcW w:w="1375" w:type="dxa"/>
          </w:tcPr>
          <w:p w14:paraId="0719DB74" w14:textId="77777777" w:rsidR="0018025E" w:rsidRPr="0018025E" w:rsidRDefault="0018025E" w:rsidP="00AF33B8">
            <w:proofErr w:type="spellStart"/>
            <w:r w:rsidRPr="0018025E">
              <w:t>other_allele</w:t>
            </w:r>
            <w:proofErr w:type="spellEnd"/>
          </w:p>
        </w:tc>
        <w:tc>
          <w:tcPr>
            <w:tcW w:w="1030" w:type="dxa"/>
          </w:tcPr>
          <w:p w14:paraId="06049BA1" w14:textId="77777777" w:rsidR="0018025E" w:rsidRPr="0018025E" w:rsidRDefault="0018025E" w:rsidP="00AF33B8">
            <w:r w:rsidRPr="0018025E">
              <w:t>beta</w:t>
            </w:r>
          </w:p>
        </w:tc>
        <w:tc>
          <w:tcPr>
            <w:tcW w:w="930" w:type="dxa"/>
          </w:tcPr>
          <w:p w14:paraId="79D32296" w14:textId="77777777" w:rsidR="0018025E" w:rsidRPr="0018025E" w:rsidRDefault="0018025E" w:rsidP="00AF33B8">
            <w:r w:rsidRPr="0018025E">
              <w:t>se</w:t>
            </w:r>
          </w:p>
        </w:tc>
        <w:tc>
          <w:tcPr>
            <w:tcW w:w="1132" w:type="dxa"/>
          </w:tcPr>
          <w:p w14:paraId="33E2D00D" w14:textId="77777777" w:rsidR="0018025E" w:rsidRPr="0018025E" w:rsidRDefault="0018025E" w:rsidP="00AF33B8">
            <w:proofErr w:type="spellStart"/>
            <w:r w:rsidRPr="0018025E">
              <w:t>eaf</w:t>
            </w:r>
            <w:proofErr w:type="spellEnd"/>
          </w:p>
        </w:tc>
        <w:tc>
          <w:tcPr>
            <w:tcW w:w="1136" w:type="dxa"/>
          </w:tcPr>
          <w:p w14:paraId="1F544A6E" w14:textId="77777777" w:rsidR="0018025E" w:rsidRPr="0018025E" w:rsidRDefault="0018025E" w:rsidP="00AF33B8">
            <w:proofErr w:type="spellStart"/>
            <w:r w:rsidRPr="0018025E">
              <w:t>pvalue</w:t>
            </w:r>
            <w:proofErr w:type="spellEnd"/>
          </w:p>
        </w:tc>
        <w:tc>
          <w:tcPr>
            <w:tcW w:w="822" w:type="dxa"/>
          </w:tcPr>
          <w:p w14:paraId="7FB83147" w14:textId="77777777" w:rsidR="0018025E" w:rsidRPr="0018025E" w:rsidRDefault="0018025E" w:rsidP="00AF33B8">
            <w:r w:rsidRPr="0018025E">
              <w:t>units</w:t>
            </w:r>
          </w:p>
        </w:tc>
      </w:tr>
      <w:tr w:rsidR="0018025E" w:rsidRPr="0018025E" w14:paraId="2CDBB4EE" w14:textId="77777777" w:rsidTr="0018025E">
        <w:tc>
          <w:tcPr>
            <w:tcW w:w="1259" w:type="dxa"/>
          </w:tcPr>
          <w:p w14:paraId="47AFB96B" w14:textId="77777777" w:rsidR="0018025E" w:rsidRPr="0018025E" w:rsidRDefault="0018025E" w:rsidP="00AF33B8">
            <w:r w:rsidRPr="0018025E">
              <w:t>HMGCR</w:t>
            </w:r>
          </w:p>
        </w:tc>
        <w:tc>
          <w:tcPr>
            <w:tcW w:w="1365" w:type="dxa"/>
          </w:tcPr>
          <w:p w14:paraId="3B6918D6" w14:textId="77777777" w:rsidR="0018025E" w:rsidRPr="0018025E" w:rsidRDefault="0018025E" w:rsidP="00AF33B8">
            <w:r w:rsidRPr="0018025E">
              <w:t>rs17238484</w:t>
            </w:r>
          </w:p>
        </w:tc>
        <w:tc>
          <w:tcPr>
            <w:tcW w:w="1407" w:type="dxa"/>
          </w:tcPr>
          <w:p w14:paraId="49EA90D9" w14:textId="77777777" w:rsidR="0018025E" w:rsidRPr="0018025E" w:rsidRDefault="0018025E" w:rsidP="00AF33B8">
            <w:r w:rsidRPr="0018025E">
              <w:t>T</w:t>
            </w:r>
          </w:p>
        </w:tc>
        <w:tc>
          <w:tcPr>
            <w:tcW w:w="1375" w:type="dxa"/>
          </w:tcPr>
          <w:p w14:paraId="46C3BD22" w14:textId="77777777" w:rsidR="0018025E" w:rsidRPr="0018025E" w:rsidRDefault="0018025E" w:rsidP="00AF33B8">
            <w:r w:rsidRPr="0018025E">
              <w:t>G</w:t>
            </w:r>
          </w:p>
        </w:tc>
        <w:tc>
          <w:tcPr>
            <w:tcW w:w="1030" w:type="dxa"/>
          </w:tcPr>
          <w:p w14:paraId="5E3B9532" w14:textId="77777777" w:rsidR="0018025E" w:rsidRPr="0018025E" w:rsidRDefault="0018025E" w:rsidP="00AF33B8">
            <w:r w:rsidRPr="0018025E">
              <w:t>0.0627</w:t>
            </w:r>
          </w:p>
        </w:tc>
        <w:tc>
          <w:tcPr>
            <w:tcW w:w="930" w:type="dxa"/>
          </w:tcPr>
          <w:p w14:paraId="2ED782D2" w14:textId="77777777" w:rsidR="0018025E" w:rsidRPr="0018025E" w:rsidRDefault="0018025E" w:rsidP="00AF33B8">
            <w:r w:rsidRPr="0018025E">
              <w:t>0.0627</w:t>
            </w:r>
          </w:p>
        </w:tc>
        <w:tc>
          <w:tcPr>
            <w:tcW w:w="1132" w:type="dxa"/>
          </w:tcPr>
          <w:p w14:paraId="1CC27C19" w14:textId="77777777" w:rsidR="0018025E" w:rsidRPr="0018025E" w:rsidRDefault="0018025E" w:rsidP="00AF33B8">
            <w:r w:rsidRPr="0018025E">
              <w:t>0.2533</w:t>
            </w:r>
          </w:p>
        </w:tc>
        <w:tc>
          <w:tcPr>
            <w:tcW w:w="1136" w:type="dxa"/>
          </w:tcPr>
          <w:p w14:paraId="6C1F7B55" w14:textId="77777777" w:rsidR="0018025E" w:rsidRPr="0018025E" w:rsidRDefault="0018025E" w:rsidP="00AF33B8">
            <w:r w:rsidRPr="0018025E">
              <w:t>1.35E-21</w:t>
            </w:r>
          </w:p>
        </w:tc>
        <w:tc>
          <w:tcPr>
            <w:tcW w:w="822" w:type="dxa"/>
          </w:tcPr>
          <w:p w14:paraId="0ECB6B2F" w14:textId="77777777" w:rsidR="0018025E" w:rsidRPr="0018025E" w:rsidRDefault="0018025E" w:rsidP="00AF33B8">
            <w:proofErr w:type="spellStart"/>
            <w:r w:rsidRPr="0018025E">
              <w:t>sd</w:t>
            </w:r>
            <w:proofErr w:type="spellEnd"/>
          </w:p>
        </w:tc>
      </w:tr>
    </w:tbl>
    <w:p w14:paraId="2BF853F6" w14:textId="77777777" w:rsidR="00164128" w:rsidRPr="00D30087" w:rsidRDefault="00164128" w:rsidP="00264A93">
      <w:pPr>
        <w:pStyle w:val="ListParagraph"/>
      </w:pPr>
    </w:p>
    <w:p w14:paraId="56CF93BE" w14:textId="2DFE105E" w:rsidR="00A101B1" w:rsidRPr="00D30087" w:rsidRDefault="00D30087" w:rsidP="00264A93">
      <w:pPr>
        <w:pStyle w:val="ListParagraph"/>
        <w:numPr>
          <w:ilvl w:val="0"/>
          <w:numId w:val="5"/>
        </w:numPr>
      </w:pPr>
      <w:r w:rsidRPr="00D30087">
        <w:t xml:space="preserve">Define the outcome by selecting the </w:t>
      </w:r>
      <w:r w:rsidR="0051667D" w:rsidRPr="00D30087">
        <w:t xml:space="preserve">following outcomes from the MR-Base GWAS </w:t>
      </w:r>
      <w:proofErr w:type="spellStart"/>
      <w:r w:rsidR="0051667D" w:rsidRPr="00D30087">
        <w:t>catalog</w:t>
      </w:r>
      <w:proofErr w:type="spellEnd"/>
      <w:r w:rsidR="0051667D" w:rsidRPr="00D30087">
        <w:t>:</w:t>
      </w:r>
    </w:p>
    <w:p w14:paraId="1E047CFE" w14:textId="77777777" w:rsidR="0051667D" w:rsidRPr="00D30087" w:rsidRDefault="0051667D" w:rsidP="00264A93">
      <w:pPr>
        <w:pStyle w:val="ListParagraph"/>
      </w:pPr>
    </w:p>
    <w:tbl>
      <w:tblPr>
        <w:tblStyle w:val="TableGrid"/>
        <w:tblW w:w="5000" w:type="pct"/>
        <w:tblLayout w:type="fixed"/>
        <w:tblLook w:val="04A0" w:firstRow="1" w:lastRow="0" w:firstColumn="1" w:lastColumn="0" w:noHBand="0" w:noVBand="1"/>
      </w:tblPr>
      <w:tblGrid>
        <w:gridCol w:w="708"/>
        <w:gridCol w:w="2265"/>
        <w:gridCol w:w="2127"/>
        <w:gridCol w:w="1700"/>
        <w:gridCol w:w="991"/>
        <w:gridCol w:w="1276"/>
        <w:gridCol w:w="1389"/>
      </w:tblGrid>
      <w:tr w:rsidR="00164128" w:rsidRPr="00164128" w14:paraId="4CF036E9" w14:textId="77777777" w:rsidTr="0018025E">
        <w:tc>
          <w:tcPr>
            <w:tcW w:w="338" w:type="pct"/>
            <w:vAlign w:val="center"/>
          </w:tcPr>
          <w:p w14:paraId="3877BB0E" w14:textId="77777777" w:rsidR="00A101B1" w:rsidRPr="00164128" w:rsidRDefault="00A101B1" w:rsidP="00264A93">
            <w:r w:rsidRPr="00164128">
              <w:t>ID</w:t>
            </w:r>
          </w:p>
        </w:tc>
        <w:tc>
          <w:tcPr>
            <w:tcW w:w="1083" w:type="pct"/>
            <w:vAlign w:val="center"/>
          </w:tcPr>
          <w:p w14:paraId="644FE8F7" w14:textId="77777777" w:rsidR="00A101B1" w:rsidRPr="00164128" w:rsidRDefault="00A101B1" w:rsidP="00264A93">
            <w:r w:rsidRPr="00164128">
              <w:t>Variable</w:t>
            </w:r>
          </w:p>
        </w:tc>
        <w:tc>
          <w:tcPr>
            <w:tcW w:w="1017" w:type="pct"/>
            <w:vAlign w:val="center"/>
          </w:tcPr>
          <w:p w14:paraId="68A9469C" w14:textId="77777777" w:rsidR="00A101B1" w:rsidRPr="00164128" w:rsidRDefault="00A101B1" w:rsidP="00264A93">
            <w:r w:rsidRPr="00164128">
              <w:t>First author (year)</w:t>
            </w:r>
          </w:p>
        </w:tc>
        <w:tc>
          <w:tcPr>
            <w:tcW w:w="813" w:type="pct"/>
            <w:vAlign w:val="center"/>
          </w:tcPr>
          <w:p w14:paraId="4106CAAE" w14:textId="77777777" w:rsidR="00A101B1" w:rsidRPr="00164128" w:rsidRDefault="00A101B1" w:rsidP="00264A93">
            <w:r w:rsidRPr="00164128">
              <w:t>Consortium</w:t>
            </w:r>
          </w:p>
        </w:tc>
        <w:tc>
          <w:tcPr>
            <w:tcW w:w="474" w:type="pct"/>
            <w:vAlign w:val="center"/>
          </w:tcPr>
          <w:p w14:paraId="3C9A404A" w14:textId="77777777" w:rsidR="00A101B1" w:rsidRPr="00164128" w:rsidRDefault="00A101B1" w:rsidP="00264A93">
            <w:r w:rsidRPr="00164128">
              <w:t>Sample size</w:t>
            </w:r>
          </w:p>
        </w:tc>
        <w:tc>
          <w:tcPr>
            <w:tcW w:w="610" w:type="pct"/>
            <w:vAlign w:val="center"/>
          </w:tcPr>
          <w:p w14:paraId="04A130E0" w14:textId="77777777" w:rsidR="00A101B1" w:rsidRPr="00164128" w:rsidRDefault="00A101B1" w:rsidP="00264A93">
            <w:r w:rsidRPr="00164128">
              <w:t>Population</w:t>
            </w:r>
          </w:p>
        </w:tc>
        <w:tc>
          <w:tcPr>
            <w:tcW w:w="664" w:type="pct"/>
            <w:vAlign w:val="center"/>
          </w:tcPr>
          <w:p w14:paraId="36DCBA9F" w14:textId="77777777" w:rsidR="00A101B1" w:rsidRPr="00164128" w:rsidRDefault="00A101B1" w:rsidP="00264A93">
            <w:r w:rsidRPr="00164128">
              <w:t>Sex</w:t>
            </w:r>
          </w:p>
        </w:tc>
      </w:tr>
      <w:tr w:rsidR="00164128" w:rsidRPr="00164128" w14:paraId="3F3E93BA" w14:textId="77777777" w:rsidTr="0018025E">
        <w:tc>
          <w:tcPr>
            <w:tcW w:w="338" w:type="pct"/>
            <w:vAlign w:val="center"/>
          </w:tcPr>
          <w:p w14:paraId="3677579F" w14:textId="237D822A" w:rsidR="00A101B1" w:rsidRPr="00164128" w:rsidRDefault="00A101B1" w:rsidP="00264A93">
            <w:r w:rsidRPr="00164128">
              <w:t>2</w:t>
            </w:r>
            <w:r w:rsidR="0018025E">
              <w:t>4</w:t>
            </w:r>
          </w:p>
        </w:tc>
        <w:tc>
          <w:tcPr>
            <w:tcW w:w="1083" w:type="pct"/>
            <w:vAlign w:val="center"/>
          </w:tcPr>
          <w:p w14:paraId="1B693379" w14:textId="467A1155" w:rsidR="00A101B1" w:rsidRPr="00164128" w:rsidRDefault="0018025E" w:rsidP="00264A93">
            <w:r>
              <w:t>Type 2 diabetes</w:t>
            </w:r>
          </w:p>
        </w:tc>
        <w:tc>
          <w:tcPr>
            <w:tcW w:w="1017" w:type="pct"/>
            <w:vAlign w:val="center"/>
          </w:tcPr>
          <w:p w14:paraId="2DE87217" w14:textId="45E76E9C" w:rsidR="00A101B1" w:rsidRPr="00164128" w:rsidRDefault="0018025E" w:rsidP="00264A93">
            <w:r>
              <w:t>Morris</w:t>
            </w:r>
            <w:r w:rsidR="00A101B1" w:rsidRPr="00164128">
              <w:t xml:space="preserve"> (201</w:t>
            </w:r>
            <w:r>
              <w:t>2</w:t>
            </w:r>
            <w:r w:rsidR="00A101B1" w:rsidRPr="00164128">
              <w:t>)</w:t>
            </w:r>
            <w:r w:rsidR="00A605E2" w:rsidRPr="00164128">
              <w:t xml:space="preserve"> </w:t>
            </w:r>
            <w:r w:rsidR="00164667">
              <w:fldChar w:fldCharType="begin"/>
            </w:r>
            <w:r w:rsidR="00164667">
              <w:instrText xml:space="preserve"> ADDIN ZOTERO_ITEM CSL_CITATION {"citationID":"a25p9vceum8","properties":{"formattedCitation":"[2]","plainCitation":"[2]"},"citationItems":[{"id":2434,"uris":["http://zotero.org/users/2782891/items/Z78ZL22J"],"uri":["http://zotero.org/users/2782891/items/Z78ZL22J"],"itemData":{"id":2434,"type":"article-journal","title":"Large-scale association analysis provides insights into the genetic architecture and pathophysiology of type 2 diabetes","container-title":"Nature Genetics","page":"981-990","volume":"44","issue":"9","source":"PubMed","abstract":"To extend understanding of the genetic architecture and molecular basis of type 2 diabetes (T2D), we conducted a meta-analysis of genetic variants on the Metabochip, including 34,840 cases and 114,981 controls, overwhelmingly of European descent. We identified ten previously unreported T2D susceptibility loci, including two showing sex-differentiated association. Genome-wide analyses of these data are consistent with a long tail of additional common variant loci explaining much of the variation in susceptibility to T2D. Exploration of the enlarged set of susceptibility loci implicates several processes, including CREBBP-related transcription, adipocytokine signaling and cell cycle regulation, in diabetes pathogenesis.","DOI":"10.1038/ng.2383","ISSN":"1546-1718","note":"PMID: 22885922\nPMCID: PMC3442244","journalAbbreviation":"Nat. Genet.","language":"eng","author":[{"family":"Morris","given":"Andrew P."},{"family":"Voight","given":"Benjamin F."},{"family":"Teslovich","given":"Tanya M."},{"family":"Ferreira","given":"Teresa"},{"family":"Segrè","given":"Ayellet V."},{"family":"Steinthorsdottir","given":"Valgerdur"},{"family":"Strawbridge","given":"Rona J."},{"family":"Khan","given":"Hassan"},{"family":"Grallert","given":"Harald"},{"family":"Mahajan","given":"Anubha"},{"family":"Prokopenko","given":"Inga"},{"family":"Kang","given":"Hyun Min"},{"family":"Dina","given":"Christian"},{"family":"Esko","given":"Tonu"},{"family":"Fraser","given":"Ross M."},{"family":"Kanoni","given":"Stavroula"},{"family":"Kumar","given":"Ashish"},{"family":"Lagou","given":"Vasiliki"},{"family":"Langenberg","given":"Claudia"},{"family":"Luan","given":"Jian'an"},{"family":"Lindgren","given":"Cecilia M."},{"family":"Müller-Nurasyid","given":"Martina"},{"family":"Pechlivanis","given":"Sonali"},{"family":"Rayner","given":"N. William"},{"family":"Scott","given":"Laura J."},{"family":"Wiltshire","given":"Steven"},{"family":"Yengo","given":"Loic"},{"family":"Kinnunen","given":"Leena"},{"family":"Rossin","given":"Elizabeth J."},{"family":"Raychaudhuri","given":"Soumya"},{"family":"Johnson","given":"Andrew D."},{"family":"Dimas","given":"Antigone S."},{"family":"Loos","given":"Ruth J. F."},{"family":"Vedantam","given":"Sailaja"},{"family":"Chen","given":"Han"},{"family":"Florez","given":"Jose C."},{"family":"Fox","given":"Caroline"},{"family":"Liu","given":"Ching-Ti"},{"family":"Rybin","given":"Denis"},{"family":"Couper","given":"David J."},{"family":"Kao","given":"Wen Hong L."},{"family":"Li","given":"Man"},{"family":"Cornelis","given":"Marilyn C."},{"family":"Kraft","given":"Peter"},{"family":"Sun","given":"Qi"},{"family":"Dam","given":"Rob M.","non-dropping-particle":"van"},{"family":"Stringham","given":"Heather M."},{"family":"Chines","given":"Peter S."},{"family":"Fischer","given":"Krista"},{"family":"Fontanillas","given":"Pierre"},{"family":"Holmen","given":"Oddgeir L."},{"family":"Hunt","given":"Sarah E."},{"family":"Jackson","given":"Anne U."},{"family":"Kong","given":"Augustine"},{"family":"Lawrence","given":"Robert"},{"family":"Meyer","given":"Julia"},{"family":"Perry","given":"John R. B."},{"family":"Platou","given":"Carl G. P."},{"family":"Potter","given":"Simon"},{"family":"Rehnberg","given":"Emil"},{"family":"Robertson","given":"Neil"},{"family":"Sivapalaratnam","given":"Suthesh"},{"family":"Stančáková","given":"Alena"},{"family":"Stirrups","given":"Kathleen"},{"family":"Thorleifsson","given":"Gudmar"},{"family":"Tikkanen","given":"Emmi"},{"family":"Wood","given":"Andrew R."},{"family":"Almgren","given":"Peter"},{"family":"Atalay","given":"Mustafa"},{"family":"Benediktsson","given":"Rafn"},{"family":"Bonnycastle","given":"Lori L."},{"family":"Burtt","given":"Noël"},{"family":"Carey","given":"Jason"},{"family":"Charpentier","given":"Guillaume"},{"family":"Crenshaw","given":"Andrew T."},{"family":"Doney","given":"Alex S. F."},{"family":"Dorkhan","given":"Mozhgan"},{"family":"Edkins","given":"Sarah"},{"family":"Emilsson","given":"Valur"},{"family":"Eury","given":"Elodie"},{"family":"Forsen","given":"Tom"},{"family":"Gertow","given":"Karl"},{"family":"Gigante","given":"Bruna"},{"family":"Grant","given":"George B."},{"family":"Groves","given":"Christopher J."},{"family":"Guiducci","given":"Candace"},{"family":"Herder","given":"Christian"},{"family":"Hreidarsson","given":"Astradur B."},{"family":"Hui","given":"Jennie"},{"family":"James","given":"Alan"},{"family":"Jonsson","given":"Anna"},{"family":"Rathmann","given":"Wolfgang"},{"family":"Klopp","given":"Norman"},{"family":"Kravic","given":"Jasmina"},{"family":"Krjutškov","given":"Kaarel"},{"family":"Langford","given":"Cordelia"},{"family":"Leander","given":"Karin"},{"family":"Lindholm","given":"Eero"},{"family":"Lobbens","given":"Stéphane"},{"family":"Männistö","given":"Satu"},{"family":"Mirza","given":"Ghazala"},{"family":"Mühleisen","given":"Thomas W."},{"family":"Musk","given":"Bill"},{"family":"Parkin","given":"Melissa"},{"family":"Rallidis","given":"Loukianos"},{"family":"Saramies","given":"Jouko"},{"family":"Sennblad","given":"Bengt"},{"family":"Shah","given":"Sonia"},{"family":"Sigurðsson","given":"Gunnar"},{"family":"Silveira","given":"Angela"},{"family":"Steinbach","given":"Gerald"},{"family":"Thorand","given":"Barbara"},{"family":"Trakalo","given":"Joseph"},{"family":"Veglia","given":"Fabrizio"},{"family":"Wennauer","given":"Roman"},{"family":"Winckler","given":"Wendy"},{"family":"Zabaneh","given":"Delilah"},{"family":"Campbell","given":"Harry"},{"family":"Duijn","given":"Cornelia","non-dropping-particle":"van"},{"family":"Uitterlinden","given":"Andre G."},{"family":"Hofman","given":"Albert"},{"family":"Sijbrands","given":"Eric"},{"family":"Abecasis","given":"Goncalo R."},{"family":"Owen","given":"Katharine R."},{"family":"Zeggini","given":"Eleftheria"},{"family":"Trip","given":"Mieke D."},{"family":"Forouhi","given":"Nita G."},{"family":"Syvänen","given":"Ann-Christine"},{"family":"Eriksson","given":"Johan G."},{"family":"Peltonen","given":"Leena"},{"family":"Nöthen","given":"Markus M."},{"family":"Balkau","given":"Beverley"},{"family":"Palmer","given":"Colin N. A."},{"family":"Lyssenko","given":"Valeriya"},{"family":"Tuomi","given":"Tiinamaija"},{"family":"Isomaa","given":"Bo"},{"family":"Hunter","given":"David J."},{"family":"Qi","given":"Lu"},{"literal":"Wellcome Trust Case Control Consortium"},{"literal":"Meta-Analyses of Glucose and Insulin-related traits Consortium (MAGIC) Investigators"},{"literal":"Genetic Investigation of ANthropometric Traits (GIANT) Consortium"},{"literal":"Asian Genetic Epidemiology Network–Type 2 Diabetes (AGEN-T2D) Consortium"},{"literal":"South Asian Type 2 Diabetes (SAT2D) Consortium"},{"family":"Shuldiner","given":"Alan R."},{"family":"Roden","given":"Michael"},{"family":"Barroso","given":"Ines"},{"family":"Wilsgaard","given":"Tom"},{"family":"Beilby","given":"John"},{"family":"Hovingh","given":"Kees"},{"family":"Price","given":"Jackie F."},{"family":"Wilson","given":"James F."},{"family":"Rauramaa","given":"Rainer"},{"family":"Lakka","given":"Timo A."},{"family":"Lind","given":"Lars"},{"family":"Dedoussis","given":"George"},{"family":"Njølstad","given":"Inger"},{"family":"Pedersen","given":"Nancy L."},{"family":"Khaw","given":"Kay-Tee"},{"family":"Wareham","given":"Nicholas J."},{"family":"Keinanen-Kiukaanniemi","given":"Sirkka M."},{"family":"Saaristo","given":"Timo E."},{"family":"Korpi-Hyövälti","given":"Eeva"},{"family":"Saltevo","given":"Juha"},{"family":"Laakso","given":"Markku"},{"family":"Kuusisto","given":"Johanna"},{"family":"Metspalu","given":"Andres"},{"family":"Collins","given":"Francis S."},{"family":"Mohlke","given":"Karen L."},{"family":"Bergman","given":"Richard N."},{"family":"Tuomilehto","given":"Jaakko"},{"family":"Boehm","given":"Bernhard O."},{"family":"Gieger","given":"Christian"},{"family":"Hveem","given":"Kristian"},{"family":"Cauchi","given":"Stephane"},{"family":"Froguel","given":"Philippe"},{"family":"Baldassarre","given":"Damiano"},{"family":"Tremoli","given":"Elena"},{"family":"Humphries","given":"Steve E."},{"family":"Saleheen","given":"Danish"},{"family":"Danesh","given":"John"},{"family":"Ingelsson","given":"Erik"},{"family":"Ripatti","given":"Samuli"},{"family":"Salomaa","given":"Veikko"},{"family":"Erbel","given":"Raimund"},{"family":"Jöckel","given":"Karl-Heinz"},{"family":"Moebus","given":"Susanne"},{"family":"Peters","given":"Annette"},{"family":"Illig","given":"Thomas"},{"family":"Faire","given":"Ulf","non-dropping-particle":"de"},{"family":"Hamsten","given":"Anders"},{"family":"Morris","given":"Andrew D."},{"family":"Donnelly","given":"Peter J."},{"family":"Frayling","given":"Timothy M."},{"family":"Hattersley","given":"Andrew T."},{"family":"Boerwinkle","given":"Eric"},{"family":"Melander","given":"Olle"},{"family":"Kathiresan","given":"Sekar"},{"family":"Nilsson","given":"Peter M."},{"family":"Deloukas","given":"Panos"},{"family":"Thorsteinsdottir","given":"Unnur"},{"family":"Groop","given":"Leif C."},{"family":"Stefansson","given":"Kari"},{"family":"Hu","given":"Frank"},{"family":"Pankow","given":"James S."},{"family":"Dupuis","given":"Josée"},{"family":"Meigs","given":"James B."},{"family":"Altshuler","given":"David"},{"family":"Boehnke","given":"Michael"},{"family":"McCarthy","given":"Mark I."},{"literal":"DIAbetes Genetics Replication And Meta-analysis (DIAGRAM) Consortium"}],"issued":{"date-parts":[["2012",9]]}}}],"schema":"https://github.com/citation-style-language/schema/raw/master/csl-citation.json"} </w:instrText>
            </w:r>
            <w:r w:rsidR="00164667">
              <w:fldChar w:fldCharType="separate"/>
            </w:r>
            <w:r w:rsidR="00164667" w:rsidRPr="00164667">
              <w:rPr>
                <w:rFonts w:ascii="Calibri Light" w:hAnsi="Calibri Light"/>
              </w:rPr>
              <w:t>[2]</w:t>
            </w:r>
            <w:r w:rsidR="00164667">
              <w:fldChar w:fldCharType="end"/>
            </w:r>
          </w:p>
        </w:tc>
        <w:tc>
          <w:tcPr>
            <w:tcW w:w="813" w:type="pct"/>
            <w:vAlign w:val="center"/>
          </w:tcPr>
          <w:p w14:paraId="496D9A9F" w14:textId="648EB68E" w:rsidR="00A101B1" w:rsidRPr="00164128" w:rsidRDefault="0018025E" w:rsidP="00264A93">
            <w:proofErr w:type="spellStart"/>
            <w:r w:rsidRPr="0018025E">
              <w:t>DIAGRAMplusMetabochip</w:t>
            </w:r>
            <w:proofErr w:type="spellEnd"/>
          </w:p>
        </w:tc>
        <w:tc>
          <w:tcPr>
            <w:tcW w:w="474" w:type="pct"/>
            <w:vAlign w:val="center"/>
          </w:tcPr>
          <w:p w14:paraId="0CD19D6E" w14:textId="659F01DE" w:rsidR="00A101B1" w:rsidRPr="00164128" w:rsidRDefault="0018025E" w:rsidP="00264A93">
            <w:r>
              <w:t>149821</w:t>
            </w:r>
          </w:p>
        </w:tc>
        <w:tc>
          <w:tcPr>
            <w:tcW w:w="610" w:type="pct"/>
            <w:vAlign w:val="center"/>
          </w:tcPr>
          <w:p w14:paraId="60914C5E" w14:textId="1639B806" w:rsidR="00A101B1" w:rsidRPr="00164128" w:rsidRDefault="00A101B1" w:rsidP="00264A93">
            <w:r w:rsidRPr="00164128">
              <w:t>Mixed</w:t>
            </w:r>
          </w:p>
        </w:tc>
        <w:tc>
          <w:tcPr>
            <w:tcW w:w="664" w:type="pct"/>
            <w:vAlign w:val="center"/>
          </w:tcPr>
          <w:p w14:paraId="412B8FF5" w14:textId="4E600FE6" w:rsidR="00A101B1" w:rsidRPr="00164128" w:rsidRDefault="00A101B1" w:rsidP="00264A93">
            <w:r w:rsidRPr="00164128">
              <w:t>Males and females</w:t>
            </w:r>
          </w:p>
        </w:tc>
      </w:tr>
    </w:tbl>
    <w:p w14:paraId="30461C3B" w14:textId="38A8DB96" w:rsidR="007E4EB9" w:rsidRDefault="007E4EB9" w:rsidP="00264A93"/>
    <w:p w14:paraId="08DD735C" w14:textId="2F923027" w:rsidR="00D30087" w:rsidRPr="0007601D" w:rsidRDefault="00D30087" w:rsidP="00264A93">
      <w:pPr>
        <w:pStyle w:val="ListParagraph"/>
        <w:numPr>
          <w:ilvl w:val="0"/>
          <w:numId w:val="5"/>
        </w:numPr>
        <w:rPr>
          <w:u w:val="single"/>
        </w:rPr>
      </w:pPr>
      <w:r>
        <w:t>Specify the analysis settings:</w:t>
      </w:r>
    </w:p>
    <w:p w14:paraId="424D6E6D" w14:textId="77777777" w:rsidR="0007601D" w:rsidRPr="00D30087" w:rsidRDefault="0007601D" w:rsidP="00264A93">
      <w:pPr>
        <w:pStyle w:val="ListParagraph"/>
      </w:pPr>
    </w:p>
    <w:p w14:paraId="47442633" w14:textId="4394D381" w:rsidR="0018025E" w:rsidRDefault="00D30087" w:rsidP="00E63E0E">
      <w:pPr>
        <w:pStyle w:val="ListParagraph"/>
        <w:numPr>
          <w:ilvl w:val="0"/>
          <w:numId w:val="4"/>
        </w:numPr>
      </w:pPr>
      <w:r>
        <w:t>Set LD clumping to ‘</w:t>
      </w:r>
      <w:r w:rsidR="00164667" w:rsidRPr="00164667">
        <w:t>Do not check for LD between SNPs</w:t>
      </w:r>
      <w:r w:rsidR="0018025E">
        <w:t>’</w:t>
      </w:r>
      <w:r w:rsidR="00164667">
        <w:t xml:space="preserve"> (as we only have one instrument SNP)</w:t>
      </w:r>
    </w:p>
    <w:p w14:paraId="6F9AE1B5" w14:textId="546524DD" w:rsidR="00D30087" w:rsidRDefault="0007601D" w:rsidP="00E63E0E">
      <w:pPr>
        <w:pStyle w:val="ListParagraph"/>
        <w:numPr>
          <w:ilvl w:val="0"/>
          <w:numId w:val="4"/>
        </w:numPr>
      </w:pPr>
      <w:r>
        <w:t xml:space="preserve">Specify that </w:t>
      </w:r>
      <w:r w:rsidR="00D30087">
        <w:t>LD proxies</w:t>
      </w:r>
      <w:r>
        <w:t xml:space="preserve"> are permitted</w:t>
      </w:r>
      <w:r w:rsidR="00D30087">
        <w:t xml:space="preserve"> with a minimum </w:t>
      </w:r>
      <w:r>
        <w:t xml:space="preserve">LD R squared value </w:t>
      </w:r>
      <w:r w:rsidR="00D30087">
        <w:t xml:space="preserve">of 0.8 and ensure ‘Allow palindromic SNPs?’ is ticked with the </w:t>
      </w:r>
      <w:r>
        <w:t>MAF</w:t>
      </w:r>
      <w:r w:rsidR="00D30087">
        <w:t xml:space="preserve"> threshold set to 0.3</w:t>
      </w:r>
    </w:p>
    <w:p w14:paraId="6357B14B" w14:textId="26C8F882" w:rsidR="0051667D" w:rsidRDefault="00D30087" w:rsidP="00264A93">
      <w:pPr>
        <w:pStyle w:val="ListParagraph"/>
        <w:numPr>
          <w:ilvl w:val="0"/>
          <w:numId w:val="4"/>
        </w:numPr>
      </w:pPr>
      <w:r>
        <w:t>Set allele harmonisation to ‘</w:t>
      </w:r>
      <w:r w:rsidRPr="00D30087">
        <w:t>Attempt to align strands for palindromic SNPs</w:t>
      </w:r>
      <w:r>
        <w:t>’</w:t>
      </w:r>
    </w:p>
    <w:p w14:paraId="7257A261" w14:textId="4BA241B6" w:rsidR="0007601D" w:rsidRDefault="00D30087" w:rsidP="00264A93">
      <w:pPr>
        <w:pStyle w:val="ListParagraph"/>
        <w:numPr>
          <w:ilvl w:val="0"/>
          <w:numId w:val="4"/>
        </w:numPr>
      </w:pPr>
      <w:r>
        <w:t xml:space="preserve">Select the </w:t>
      </w:r>
      <w:r w:rsidR="00164667">
        <w:t>Wald ratio</w:t>
      </w:r>
      <w:r>
        <w:t xml:space="preserve"> method for analys</w:t>
      </w:r>
      <w:r w:rsidR="0007601D">
        <w:t>is</w:t>
      </w:r>
    </w:p>
    <w:p w14:paraId="1BD17947" w14:textId="77777777" w:rsidR="00264A93" w:rsidRDefault="00264A93" w:rsidP="00264A93"/>
    <w:p w14:paraId="1DFCE0F6" w14:textId="40CB0159" w:rsidR="0007601D" w:rsidRDefault="0007601D" w:rsidP="00264A93">
      <w:pPr>
        <w:pStyle w:val="ListParagraph"/>
        <w:numPr>
          <w:ilvl w:val="0"/>
          <w:numId w:val="5"/>
        </w:numPr>
      </w:pPr>
      <w:r>
        <w:t xml:space="preserve">Perform the MR analysis and save the results, including the citations that are to be referenced in any published work arising from this analysis.  </w:t>
      </w:r>
    </w:p>
    <w:p w14:paraId="46FF8348" w14:textId="0D25EE7C" w:rsidR="00177D93" w:rsidRDefault="00177D93" w:rsidP="00264A93"/>
    <w:p w14:paraId="76AF68AE" w14:textId="539E3050" w:rsidR="007D3AE3" w:rsidRPr="007D3AE3" w:rsidRDefault="007D3AE3" w:rsidP="007D3AE3">
      <w:r>
        <w:t xml:space="preserve">Note: there </w:t>
      </w:r>
      <w:r w:rsidR="00DF2B51">
        <w:t>are</w:t>
      </w:r>
      <w:r>
        <w:t xml:space="preserve"> no graphical results for this </w:t>
      </w:r>
      <w:r w:rsidR="00DF2B51">
        <w:t xml:space="preserve">case study </w:t>
      </w:r>
      <w:r>
        <w:t xml:space="preserve">as we used a single SNP instrument and so </w:t>
      </w:r>
      <w:r w:rsidR="00DF2B51">
        <w:t>the sensitivity analyses illustrated in the graphs w</w:t>
      </w:r>
      <w:r w:rsidR="00E720FB">
        <w:t xml:space="preserve">ill </w:t>
      </w:r>
      <w:r w:rsidR="00DF2B51">
        <w:t>not</w:t>
      </w:r>
      <w:r w:rsidR="00E720FB">
        <w:t xml:space="preserve"> have</w:t>
      </w:r>
      <w:r w:rsidR="00DF2B51">
        <w:t xml:space="preserve"> </w:t>
      </w:r>
      <w:r w:rsidR="00E720FB">
        <w:t>been conducted.</w:t>
      </w:r>
    </w:p>
    <w:p w14:paraId="7534D0D9" w14:textId="431D8336" w:rsidR="007D3AE3" w:rsidRDefault="007D3AE3" w:rsidP="00264A93"/>
    <w:p w14:paraId="44CA948A" w14:textId="77777777" w:rsidR="00FC4A20" w:rsidRDefault="00FC4A20" w:rsidP="00FC4A20">
      <w:pPr>
        <w:pStyle w:val="Heading2"/>
      </w:pPr>
      <w:r>
        <w:t>Analysis R code</w:t>
      </w:r>
    </w:p>
    <w:p w14:paraId="2AB15544" w14:textId="77777777" w:rsidR="00FC4A20" w:rsidRDefault="00FC4A20" w:rsidP="00FC4A20"/>
    <w:p w14:paraId="7020D117" w14:textId="77777777" w:rsidR="00FC4A20" w:rsidRPr="00EE466B" w:rsidRDefault="00FC4A20" w:rsidP="00FC4A20">
      <w:r>
        <w:t>MR-Base provides the analysis R code as an output. The R code for this analysis is provided below:</w:t>
      </w:r>
    </w:p>
    <w:p w14:paraId="5E3F7DD1" w14:textId="360252D2" w:rsidR="00FC4A20" w:rsidRDefault="00FC4A20" w:rsidP="00264A93"/>
    <w:p w14:paraId="65F79BB0" w14:textId="77777777" w:rsidR="00FC4A20" w:rsidRPr="00FC4A20" w:rsidRDefault="00FC4A20" w:rsidP="00FC4A20">
      <w:pPr>
        <w:rPr>
          <w:rFonts w:ascii="Courier New" w:hAnsi="Courier New" w:cs="Courier New"/>
        </w:rPr>
      </w:pPr>
      <w:proofErr w:type="gramStart"/>
      <w:r w:rsidRPr="00FC4A20">
        <w:rPr>
          <w:rFonts w:ascii="Courier New" w:hAnsi="Courier New" w:cs="Courier New"/>
        </w:rPr>
        <w:t>library(</w:t>
      </w:r>
      <w:proofErr w:type="gramEnd"/>
      <w:r w:rsidRPr="00FC4A20">
        <w:rPr>
          <w:rFonts w:ascii="Courier New" w:hAnsi="Courier New" w:cs="Courier New"/>
        </w:rPr>
        <w:t>TwoSampleMR)</w:t>
      </w:r>
    </w:p>
    <w:p w14:paraId="671C9F41" w14:textId="77777777" w:rsidR="00FC4A20" w:rsidRPr="00FC4A20" w:rsidRDefault="00FC4A20" w:rsidP="00FC4A20">
      <w:pPr>
        <w:rPr>
          <w:rFonts w:ascii="Courier New" w:hAnsi="Courier New" w:cs="Courier New"/>
        </w:rPr>
      </w:pPr>
      <w:proofErr w:type="spellStart"/>
      <w:r w:rsidRPr="00FC4A20">
        <w:rPr>
          <w:rFonts w:ascii="Courier New" w:hAnsi="Courier New" w:cs="Courier New"/>
        </w:rPr>
        <w:t>ao</w:t>
      </w:r>
      <w:proofErr w:type="spellEnd"/>
      <w:r w:rsidRPr="00FC4A20">
        <w:rPr>
          <w:rFonts w:ascii="Courier New" w:hAnsi="Courier New" w:cs="Courier New"/>
        </w:rPr>
        <w:t xml:space="preserve"> &lt;- </w:t>
      </w:r>
      <w:proofErr w:type="spellStart"/>
      <w:r w:rsidRPr="00FC4A20">
        <w:rPr>
          <w:rFonts w:ascii="Courier New" w:hAnsi="Courier New" w:cs="Courier New"/>
        </w:rPr>
        <w:t>available_</w:t>
      </w:r>
      <w:proofErr w:type="gramStart"/>
      <w:r w:rsidRPr="00FC4A20">
        <w:rPr>
          <w:rFonts w:ascii="Courier New" w:hAnsi="Courier New" w:cs="Courier New"/>
        </w:rPr>
        <w:t>outcomes</w:t>
      </w:r>
      <w:proofErr w:type="spellEnd"/>
      <w:r w:rsidRPr="00FC4A20">
        <w:rPr>
          <w:rFonts w:ascii="Courier New" w:hAnsi="Courier New" w:cs="Courier New"/>
        </w:rPr>
        <w:t>(</w:t>
      </w:r>
      <w:proofErr w:type="gramEnd"/>
      <w:r w:rsidRPr="00FC4A20">
        <w:rPr>
          <w:rFonts w:ascii="Courier New" w:hAnsi="Courier New" w:cs="Courier New"/>
        </w:rPr>
        <w:t>)</w:t>
      </w:r>
    </w:p>
    <w:p w14:paraId="5016652B" w14:textId="77777777" w:rsidR="00FC4A20" w:rsidRPr="00FC4A20" w:rsidRDefault="00FC4A20" w:rsidP="00FC4A20">
      <w:pPr>
        <w:rPr>
          <w:rFonts w:ascii="Courier New" w:hAnsi="Courier New" w:cs="Courier New"/>
        </w:rPr>
      </w:pPr>
      <w:proofErr w:type="spellStart"/>
      <w:r w:rsidRPr="00FC4A20">
        <w:rPr>
          <w:rFonts w:ascii="Courier New" w:hAnsi="Courier New" w:cs="Courier New"/>
        </w:rPr>
        <w:t>exposure_dat</w:t>
      </w:r>
      <w:proofErr w:type="spellEnd"/>
      <w:r w:rsidRPr="00FC4A20">
        <w:rPr>
          <w:rFonts w:ascii="Courier New" w:hAnsi="Courier New" w:cs="Courier New"/>
        </w:rPr>
        <w:t xml:space="preserve"> &lt;- </w:t>
      </w:r>
      <w:proofErr w:type="spellStart"/>
      <w:r w:rsidRPr="00FC4A20">
        <w:rPr>
          <w:rFonts w:ascii="Courier New" w:hAnsi="Courier New" w:cs="Courier New"/>
        </w:rPr>
        <w:t>read_exposure_</w:t>
      </w:r>
      <w:proofErr w:type="gramStart"/>
      <w:r w:rsidRPr="00FC4A20">
        <w:rPr>
          <w:rFonts w:ascii="Courier New" w:hAnsi="Courier New" w:cs="Courier New"/>
        </w:rPr>
        <w:t>data</w:t>
      </w:r>
      <w:proofErr w:type="spellEnd"/>
      <w:r w:rsidRPr="00FC4A20">
        <w:rPr>
          <w:rFonts w:ascii="Courier New" w:hAnsi="Courier New" w:cs="Courier New"/>
        </w:rPr>
        <w:t>(</w:t>
      </w:r>
      <w:proofErr w:type="gramEnd"/>
    </w:p>
    <w:p w14:paraId="0633F353" w14:textId="0067ADEE" w:rsidR="00FC4A20" w:rsidRPr="00FC4A20" w:rsidRDefault="00FC4A20" w:rsidP="00FC4A20">
      <w:pPr>
        <w:rPr>
          <w:rFonts w:ascii="Courier New" w:hAnsi="Courier New" w:cs="Courier New"/>
        </w:rPr>
      </w:pPr>
      <w:r w:rsidRPr="00FC4A20">
        <w:rPr>
          <w:rFonts w:ascii="Courier New" w:hAnsi="Courier New" w:cs="Courier New"/>
        </w:rPr>
        <w:t xml:space="preserve">  filename = </w:t>
      </w:r>
      <w:bookmarkStart w:id="0" w:name="_GoBack"/>
      <w:r w:rsidRPr="00FC4A20">
        <w:rPr>
          <w:rFonts w:ascii="Courier New" w:hAnsi="Courier New" w:cs="Courier New"/>
        </w:rPr>
        <w:t>'</w:t>
      </w:r>
      <w:r w:rsidR="007F4C20">
        <w:rPr>
          <w:rFonts w:ascii="Courier New" w:hAnsi="Courier New" w:cs="Courier New"/>
        </w:rPr>
        <w:t>CaseStudy3_</w:t>
      </w:r>
      <w:bookmarkEnd w:id="0"/>
      <w:r w:rsidRPr="00FC4A20">
        <w:rPr>
          <w:rFonts w:ascii="Courier New" w:hAnsi="Courier New" w:cs="Courier New"/>
        </w:rPr>
        <w:t>instrument.csv',</w:t>
      </w:r>
    </w:p>
    <w:p w14:paraId="120A5C52" w14:textId="77777777" w:rsidR="00FC4A20" w:rsidRPr="00FC4A20" w:rsidRDefault="00FC4A20" w:rsidP="00FC4A20">
      <w:pPr>
        <w:rPr>
          <w:rFonts w:ascii="Courier New" w:hAnsi="Courier New" w:cs="Courier New"/>
        </w:rPr>
      </w:pPr>
      <w:r w:rsidRPr="00FC4A20">
        <w:rPr>
          <w:rFonts w:ascii="Courier New" w:hAnsi="Courier New" w:cs="Courier New"/>
        </w:rPr>
        <w:t xml:space="preserve">  </w:t>
      </w:r>
      <w:proofErr w:type="spellStart"/>
      <w:r w:rsidRPr="00FC4A20">
        <w:rPr>
          <w:rFonts w:ascii="Courier New" w:hAnsi="Courier New" w:cs="Courier New"/>
        </w:rPr>
        <w:t>sep</w:t>
      </w:r>
      <w:proofErr w:type="spellEnd"/>
      <w:r w:rsidRPr="00FC4A20">
        <w:rPr>
          <w:rFonts w:ascii="Courier New" w:hAnsi="Courier New" w:cs="Courier New"/>
        </w:rPr>
        <w:t xml:space="preserve"> = ',',</w:t>
      </w:r>
    </w:p>
    <w:p w14:paraId="32846CDD" w14:textId="77777777" w:rsidR="00FC4A20" w:rsidRPr="00FC4A20" w:rsidRDefault="00FC4A20" w:rsidP="00FC4A20">
      <w:pPr>
        <w:rPr>
          <w:rFonts w:ascii="Courier New" w:hAnsi="Courier New" w:cs="Courier New"/>
        </w:rPr>
      </w:pPr>
      <w:r w:rsidRPr="00FC4A20">
        <w:rPr>
          <w:rFonts w:ascii="Courier New" w:hAnsi="Courier New" w:cs="Courier New"/>
        </w:rPr>
        <w:t xml:space="preserve">  </w:t>
      </w:r>
      <w:proofErr w:type="spellStart"/>
      <w:r w:rsidRPr="00FC4A20">
        <w:rPr>
          <w:rFonts w:ascii="Courier New" w:hAnsi="Courier New" w:cs="Courier New"/>
        </w:rPr>
        <w:t>snp_col</w:t>
      </w:r>
      <w:proofErr w:type="spellEnd"/>
      <w:r w:rsidRPr="00FC4A20">
        <w:rPr>
          <w:rFonts w:ascii="Courier New" w:hAnsi="Courier New" w:cs="Courier New"/>
        </w:rPr>
        <w:t xml:space="preserve"> = 'SNP',</w:t>
      </w:r>
    </w:p>
    <w:p w14:paraId="1D51212B" w14:textId="77777777" w:rsidR="00FC4A20" w:rsidRPr="00FC4A20" w:rsidRDefault="00FC4A20" w:rsidP="00FC4A20">
      <w:pPr>
        <w:rPr>
          <w:rFonts w:ascii="Courier New" w:hAnsi="Courier New" w:cs="Courier New"/>
        </w:rPr>
      </w:pPr>
      <w:r w:rsidRPr="00FC4A20">
        <w:rPr>
          <w:rFonts w:ascii="Courier New" w:hAnsi="Courier New" w:cs="Courier New"/>
        </w:rPr>
        <w:t xml:space="preserve">  </w:t>
      </w:r>
      <w:proofErr w:type="spellStart"/>
      <w:r w:rsidRPr="00FC4A20">
        <w:rPr>
          <w:rFonts w:ascii="Courier New" w:hAnsi="Courier New" w:cs="Courier New"/>
        </w:rPr>
        <w:t>beta_col</w:t>
      </w:r>
      <w:proofErr w:type="spellEnd"/>
      <w:r w:rsidRPr="00FC4A20">
        <w:rPr>
          <w:rFonts w:ascii="Courier New" w:hAnsi="Courier New" w:cs="Courier New"/>
        </w:rPr>
        <w:t xml:space="preserve"> = 'beta',</w:t>
      </w:r>
    </w:p>
    <w:p w14:paraId="4C724204" w14:textId="77777777" w:rsidR="00FC4A20" w:rsidRPr="00FC4A20" w:rsidRDefault="00FC4A20" w:rsidP="00FC4A20">
      <w:pPr>
        <w:rPr>
          <w:rFonts w:ascii="Courier New" w:hAnsi="Courier New" w:cs="Courier New"/>
        </w:rPr>
      </w:pPr>
      <w:r w:rsidRPr="00FC4A20">
        <w:rPr>
          <w:rFonts w:ascii="Courier New" w:hAnsi="Courier New" w:cs="Courier New"/>
        </w:rPr>
        <w:t xml:space="preserve">  </w:t>
      </w:r>
      <w:proofErr w:type="spellStart"/>
      <w:r w:rsidRPr="00FC4A20">
        <w:rPr>
          <w:rFonts w:ascii="Courier New" w:hAnsi="Courier New" w:cs="Courier New"/>
        </w:rPr>
        <w:t>se_col</w:t>
      </w:r>
      <w:proofErr w:type="spellEnd"/>
      <w:r w:rsidRPr="00FC4A20">
        <w:rPr>
          <w:rFonts w:ascii="Courier New" w:hAnsi="Courier New" w:cs="Courier New"/>
        </w:rPr>
        <w:t xml:space="preserve"> = 'se',</w:t>
      </w:r>
    </w:p>
    <w:p w14:paraId="565B73A9" w14:textId="77777777" w:rsidR="00FC4A20" w:rsidRPr="00FC4A20" w:rsidRDefault="00FC4A20" w:rsidP="00FC4A20">
      <w:pPr>
        <w:rPr>
          <w:rFonts w:ascii="Courier New" w:hAnsi="Courier New" w:cs="Courier New"/>
        </w:rPr>
      </w:pPr>
      <w:r w:rsidRPr="00FC4A20">
        <w:rPr>
          <w:rFonts w:ascii="Courier New" w:hAnsi="Courier New" w:cs="Courier New"/>
        </w:rPr>
        <w:t xml:space="preserve">  </w:t>
      </w:r>
      <w:proofErr w:type="spellStart"/>
      <w:r w:rsidRPr="00FC4A20">
        <w:rPr>
          <w:rFonts w:ascii="Courier New" w:hAnsi="Courier New" w:cs="Courier New"/>
        </w:rPr>
        <w:t>effect_allele_col</w:t>
      </w:r>
      <w:proofErr w:type="spellEnd"/>
      <w:r w:rsidRPr="00FC4A20">
        <w:rPr>
          <w:rFonts w:ascii="Courier New" w:hAnsi="Courier New" w:cs="Courier New"/>
        </w:rPr>
        <w:t xml:space="preserve"> = '</w:t>
      </w:r>
      <w:proofErr w:type="spellStart"/>
      <w:r w:rsidRPr="00FC4A20">
        <w:rPr>
          <w:rFonts w:ascii="Courier New" w:hAnsi="Courier New" w:cs="Courier New"/>
        </w:rPr>
        <w:t>effect_allele</w:t>
      </w:r>
      <w:proofErr w:type="spellEnd"/>
      <w:r w:rsidRPr="00FC4A20">
        <w:rPr>
          <w:rFonts w:ascii="Courier New" w:hAnsi="Courier New" w:cs="Courier New"/>
        </w:rPr>
        <w:t>',</w:t>
      </w:r>
    </w:p>
    <w:p w14:paraId="0D70FCEE" w14:textId="77777777" w:rsidR="00FC4A20" w:rsidRPr="00FC4A20" w:rsidRDefault="00FC4A20" w:rsidP="00FC4A20">
      <w:pPr>
        <w:rPr>
          <w:rFonts w:ascii="Courier New" w:hAnsi="Courier New" w:cs="Courier New"/>
        </w:rPr>
      </w:pPr>
      <w:r w:rsidRPr="00FC4A20">
        <w:rPr>
          <w:rFonts w:ascii="Courier New" w:hAnsi="Courier New" w:cs="Courier New"/>
        </w:rPr>
        <w:lastRenderedPageBreak/>
        <w:t xml:space="preserve">  </w:t>
      </w:r>
      <w:proofErr w:type="spellStart"/>
      <w:r w:rsidRPr="00FC4A20">
        <w:rPr>
          <w:rFonts w:ascii="Courier New" w:hAnsi="Courier New" w:cs="Courier New"/>
        </w:rPr>
        <w:t>phenotype_col</w:t>
      </w:r>
      <w:proofErr w:type="spellEnd"/>
      <w:r w:rsidRPr="00FC4A20">
        <w:rPr>
          <w:rFonts w:ascii="Courier New" w:hAnsi="Courier New" w:cs="Courier New"/>
        </w:rPr>
        <w:t xml:space="preserve"> = 'Phenotype',</w:t>
      </w:r>
    </w:p>
    <w:p w14:paraId="42A3E478" w14:textId="77777777" w:rsidR="00FC4A20" w:rsidRPr="00FC4A20" w:rsidRDefault="00FC4A20" w:rsidP="00FC4A20">
      <w:pPr>
        <w:rPr>
          <w:rFonts w:ascii="Courier New" w:hAnsi="Courier New" w:cs="Courier New"/>
        </w:rPr>
      </w:pPr>
      <w:r w:rsidRPr="00FC4A20">
        <w:rPr>
          <w:rFonts w:ascii="Courier New" w:hAnsi="Courier New" w:cs="Courier New"/>
        </w:rPr>
        <w:t xml:space="preserve">  </w:t>
      </w:r>
      <w:proofErr w:type="spellStart"/>
      <w:r w:rsidRPr="00FC4A20">
        <w:rPr>
          <w:rFonts w:ascii="Courier New" w:hAnsi="Courier New" w:cs="Courier New"/>
        </w:rPr>
        <w:t>units_col</w:t>
      </w:r>
      <w:proofErr w:type="spellEnd"/>
      <w:r w:rsidRPr="00FC4A20">
        <w:rPr>
          <w:rFonts w:ascii="Courier New" w:hAnsi="Courier New" w:cs="Courier New"/>
        </w:rPr>
        <w:t xml:space="preserve"> = 'units',</w:t>
      </w:r>
    </w:p>
    <w:p w14:paraId="2480974D" w14:textId="77777777" w:rsidR="00FC4A20" w:rsidRPr="00FC4A20" w:rsidRDefault="00FC4A20" w:rsidP="00FC4A20">
      <w:pPr>
        <w:rPr>
          <w:rFonts w:ascii="Courier New" w:hAnsi="Courier New" w:cs="Courier New"/>
        </w:rPr>
      </w:pPr>
      <w:r w:rsidRPr="00FC4A20">
        <w:rPr>
          <w:rFonts w:ascii="Courier New" w:hAnsi="Courier New" w:cs="Courier New"/>
        </w:rPr>
        <w:t xml:space="preserve">  </w:t>
      </w:r>
      <w:proofErr w:type="spellStart"/>
      <w:r w:rsidRPr="00FC4A20">
        <w:rPr>
          <w:rFonts w:ascii="Courier New" w:hAnsi="Courier New" w:cs="Courier New"/>
        </w:rPr>
        <w:t>other_allele_col</w:t>
      </w:r>
      <w:proofErr w:type="spellEnd"/>
      <w:r w:rsidRPr="00FC4A20">
        <w:rPr>
          <w:rFonts w:ascii="Courier New" w:hAnsi="Courier New" w:cs="Courier New"/>
        </w:rPr>
        <w:t xml:space="preserve"> = '</w:t>
      </w:r>
      <w:proofErr w:type="spellStart"/>
      <w:r w:rsidRPr="00FC4A20">
        <w:rPr>
          <w:rFonts w:ascii="Courier New" w:hAnsi="Courier New" w:cs="Courier New"/>
        </w:rPr>
        <w:t>other_allele</w:t>
      </w:r>
      <w:proofErr w:type="spellEnd"/>
      <w:r w:rsidRPr="00FC4A20">
        <w:rPr>
          <w:rFonts w:ascii="Courier New" w:hAnsi="Courier New" w:cs="Courier New"/>
        </w:rPr>
        <w:t>',</w:t>
      </w:r>
    </w:p>
    <w:p w14:paraId="7439384A" w14:textId="77777777" w:rsidR="00FC4A20" w:rsidRPr="00FC4A20" w:rsidRDefault="00FC4A20" w:rsidP="00FC4A20">
      <w:pPr>
        <w:rPr>
          <w:rFonts w:ascii="Courier New" w:hAnsi="Courier New" w:cs="Courier New"/>
        </w:rPr>
      </w:pPr>
      <w:r w:rsidRPr="00FC4A20">
        <w:rPr>
          <w:rFonts w:ascii="Courier New" w:hAnsi="Courier New" w:cs="Courier New"/>
        </w:rPr>
        <w:t xml:space="preserve">  </w:t>
      </w:r>
      <w:proofErr w:type="spellStart"/>
      <w:r w:rsidRPr="00FC4A20">
        <w:rPr>
          <w:rFonts w:ascii="Courier New" w:hAnsi="Courier New" w:cs="Courier New"/>
        </w:rPr>
        <w:t>eaf_col</w:t>
      </w:r>
      <w:proofErr w:type="spellEnd"/>
      <w:r w:rsidRPr="00FC4A20">
        <w:rPr>
          <w:rFonts w:ascii="Courier New" w:hAnsi="Courier New" w:cs="Courier New"/>
        </w:rPr>
        <w:t xml:space="preserve"> = '</w:t>
      </w:r>
      <w:proofErr w:type="spellStart"/>
      <w:r w:rsidRPr="00FC4A20">
        <w:rPr>
          <w:rFonts w:ascii="Courier New" w:hAnsi="Courier New" w:cs="Courier New"/>
        </w:rPr>
        <w:t>eaf</w:t>
      </w:r>
      <w:proofErr w:type="spellEnd"/>
      <w:r w:rsidRPr="00FC4A20">
        <w:rPr>
          <w:rFonts w:ascii="Courier New" w:hAnsi="Courier New" w:cs="Courier New"/>
        </w:rPr>
        <w:t>',</w:t>
      </w:r>
    </w:p>
    <w:p w14:paraId="52316E7C" w14:textId="77777777" w:rsidR="00FC4A20" w:rsidRPr="00FC4A20" w:rsidRDefault="00FC4A20" w:rsidP="00FC4A20">
      <w:pPr>
        <w:rPr>
          <w:rFonts w:ascii="Courier New" w:hAnsi="Courier New" w:cs="Courier New"/>
        </w:rPr>
      </w:pPr>
      <w:r w:rsidRPr="00FC4A20">
        <w:rPr>
          <w:rFonts w:ascii="Courier New" w:hAnsi="Courier New" w:cs="Courier New"/>
        </w:rPr>
        <w:t xml:space="preserve">  </w:t>
      </w:r>
      <w:proofErr w:type="spellStart"/>
      <w:r w:rsidRPr="00FC4A20">
        <w:rPr>
          <w:rFonts w:ascii="Courier New" w:hAnsi="Courier New" w:cs="Courier New"/>
        </w:rPr>
        <w:t>samplesize_col</w:t>
      </w:r>
      <w:proofErr w:type="spellEnd"/>
      <w:r w:rsidRPr="00FC4A20">
        <w:rPr>
          <w:rFonts w:ascii="Courier New" w:hAnsi="Courier New" w:cs="Courier New"/>
        </w:rPr>
        <w:t xml:space="preserve"> = '',</w:t>
      </w:r>
    </w:p>
    <w:p w14:paraId="4D6871C6" w14:textId="77777777" w:rsidR="00FC4A20" w:rsidRPr="00FC4A20" w:rsidRDefault="00FC4A20" w:rsidP="00FC4A20">
      <w:pPr>
        <w:rPr>
          <w:rFonts w:ascii="Courier New" w:hAnsi="Courier New" w:cs="Courier New"/>
        </w:rPr>
      </w:pPr>
      <w:r w:rsidRPr="00FC4A20">
        <w:rPr>
          <w:rFonts w:ascii="Courier New" w:hAnsi="Courier New" w:cs="Courier New"/>
        </w:rPr>
        <w:t xml:space="preserve">  </w:t>
      </w:r>
      <w:proofErr w:type="spellStart"/>
      <w:r w:rsidRPr="00FC4A20">
        <w:rPr>
          <w:rFonts w:ascii="Courier New" w:hAnsi="Courier New" w:cs="Courier New"/>
        </w:rPr>
        <w:t>ncase_col</w:t>
      </w:r>
      <w:proofErr w:type="spellEnd"/>
      <w:r w:rsidRPr="00FC4A20">
        <w:rPr>
          <w:rFonts w:ascii="Courier New" w:hAnsi="Courier New" w:cs="Courier New"/>
        </w:rPr>
        <w:t xml:space="preserve"> = '',</w:t>
      </w:r>
    </w:p>
    <w:p w14:paraId="3AE193E5" w14:textId="77777777" w:rsidR="00FC4A20" w:rsidRPr="00FC4A20" w:rsidRDefault="00FC4A20" w:rsidP="00FC4A20">
      <w:pPr>
        <w:rPr>
          <w:rFonts w:ascii="Courier New" w:hAnsi="Courier New" w:cs="Courier New"/>
        </w:rPr>
      </w:pPr>
      <w:r w:rsidRPr="00FC4A20">
        <w:rPr>
          <w:rFonts w:ascii="Courier New" w:hAnsi="Courier New" w:cs="Courier New"/>
        </w:rPr>
        <w:t xml:space="preserve">  </w:t>
      </w:r>
      <w:proofErr w:type="spellStart"/>
      <w:r w:rsidRPr="00FC4A20">
        <w:rPr>
          <w:rFonts w:ascii="Courier New" w:hAnsi="Courier New" w:cs="Courier New"/>
        </w:rPr>
        <w:t>ncontrol_col</w:t>
      </w:r>
      <w:proofErr w:type="spellEnd"/>
      <w:r w:rsidRPr="00FC4A20">
        <w:rPr>
          <w:rFonts w:ascii="Courier New" w:hAnsi="Courier New" w:cs="Courier New"/>
        </w:rPr>
        <w:t xml:space="preserve"> = '',</w:t>
      </w:r>
    </w:p>
    <w:p w14:paraId="7AF37F4C" w14:textId="77777777" w:rsidR="00FC4A20" w:rsidRPr="00FC4A20" w:rsidRDefault="00FC4A20" w:rsidP="00FC4A20">
      <w:pPr>
        <w:rPr>
          <w:rFonts w:ascii="Courier New" w:hAnsi="Courier New" w:cs="Courier New"/>
        </w:rPr>
      </w:pPr>
      <w:r w:rsidRPr="00FC4A20">
        <w:rPr>
          <w:rFonts w:ascii="Courier New" w:hAnsi="Courier New" w:cs="Courier New"/>
        </w:rPr>
        <w:t xml:space="preserve">  </w:t>
      </w:r>
      <w:proofErr w:type="spellStart"/>
      <w:r w:rsidRPr="00FC4A20">
        <w:rPr>
          <w:rFonts w:ascii="Courier New" w:hAnsi="Courier New" w:cs="Courier New"/>
        </w:rPr>
        <w:t>gene_col</w:t>
      </w:r>
      <w:proofErr w:type="spellEnd"/>
      <w:r w:rsidRPr="00FC4A20">
        <w:rPr>
          <w:rFonts w:ascii="Courier New" w:hAnsi="Courier New" w:cs="Courier New"/>
        </w:rPr>
        <w:t xml:space="preserve"> = '',</w:t>
      </w:r>
    </w:p>
    <w:p w14:paraId="6A676EE8" w14:textId="77777777" w:rsidR="00FC4A20" w:rsidRPr="00FC4A20" w:rsidRDefault="00FC4A20" w:rsidP="00FC4A20">
      <w:pPr>
        <w:rPr>
          <w:rFonts w:ascii="Courier New" w:hAnsi="Courier New" w:cs="Courier New"/>
        </w:rPr>
      </w:pPr>
      <w:r w:rsidRPr="00FC4A20">
        <w:rPr>
          <w:rFonts w:ascii="Courier New" w:hAnsi="Courier New" w:cs="Courier New"/>
        </w:rPr>
        <w:t xml:space="preserve">  </w:t>
      </w:r>
      <w:proofErr w:type="spellStart"/>
      <w:r w:rsidRPr="00FC4A20">
        <w:rPr>
          <w:rFonts w:ascii="Courier New" w:hAnsi="Courier New" w:cs="Courier New"/>
        </w:rPr>
        <w:t>pval_col</w:t>
      </w:r>
      <w:proofErr w:type="spellEnd"/>
      <w:r w:rsidRPr="00FC4A20">
        <w:rPr>
          <w:rFonts w:ascii="Courier New" w:hAnsi="Courier New" w:cs="Courier New"/>
        </w:rPr>
        <w:t xml:space="preserve"> = '</w:t>
      </w:r>
      <w:proofErr w:type="spellStart"/>
      <w:r w:rsidRPr="00FC4A20">
        <w:rPr>
          <w:rFonts w:ascii="Courier New" w:hAnsi="Courier New" w:cs="Courier New"/>
        </w:rPr>
        <w:t>pvalue</w:t>
      </w:r>
      <w:proofErr w:type="spellEnd"/>
      <w:r w:rsidRPr="00FC4A20">
        <w:rPr>
          <w:rFonts w:ascii="Courier New" w:hAnsi="Courier New" w:cs="Courier New"/>
        </w:rPr>
        <w:t>'</w:t>
      </w:r>
    </w:p>
    <w:p w14:paraId="1D16B47E" w14:textId="77777777" w:rsidR="00FC4A20" w:rsidRPr="00FC4A20" w:rsidRDefault="00FC4A20" w:rsidP="00FC4A20">
      <w:pPr>
        <w:rPr>
          <w:rFonts w:ascii="Courier New" w:hAnsi="Courier New" w:cs="Courier New"/>
        </w:rPr>
      </w:pPr>
      <w:r w:rsidRPr="00FC4A20">
        <w:rPr>
          <w:rFonts w:ascii="Courier New" w:hAnsi="Courier New" w:cs="Courier New"/>
        </w:rPr>
        <w:t>)</w:t>
      </w:r>
    </w:p>
    <w:p w14:paraId="0B170311" w14:textId="77777777" w:rsidR="00FC4A20" w:rsidRPr="00FC4A20" w:rsidRDefault="00FC4A20" w:rsidP="00FC4A20">
      <w:pPr>
        <w:rPr>
          <w:rFonts w:ascii="Courier New" w:hAnsi="Courier New" w:cs="Courier New"/>
        </w:rPr>
      </w:pPr>
      <w:proofErr w:type="spellStart"/>
      <w:r w:rsidRPr="00FC4A20">
        <w:rPr>
          <w:rFonts w:ascii="Courier New" w:hAnsi="Courier New" w:cs="Courier New"/>
        </w:rPr>
        <w:t>outcome_dat</w:t>
      </w:r>
      <w:proofErr w:type="spellEnd"/>
      <w:r w:rsidRPr="00FC4A20">
        <w:rPr>
          <w:rFonts w:ascii="Courier New" w:hAnsi="Courier New" w:cs="Courier New"/>
        </w:rPr>
        <w:t xml:space="preserve"> &lt;- </w:t>
      </w:r>
      <w:proofErr w:type="spellStart"/>
      <w:r w:rsidRPr="00FC4A20">
        <w:rPr>
          <w:rFonts w:ascii="Courier New" w:hAnsi="Courier New" w:cs="Courier New"/>
        </w:rPr>
        <w:t>extract_outcome_</w:t>
      </w:r>
      <w:proofErr w:type="gramStart"/>
      <w:r w:rsidRPr="00FC4A20">
        <w:rPr>
          <w:rFonts w:ascii="Courier New" w:hAnsi="Courier New" w:cs="Courier New"/>
        </w:rPr>
        <w:t>data</w:t>
      </w:r>
      <w:proofErr w:type="spellEnd"/>
      <w:r w:rsidRPr="00FC4A20">
        <w:rPr>
          <w:rFonts w:ascii="Courier New" w:hAnsi="Courier New" w:cs="Courier New"/>
        </w:rPr>
        <w:t>(</w:t>
      </w:r>
      <w:proofErr w:type="spellStart"/>
      <w:proofErr w:type="gramEnd"/>
      <w:r w:rsidRPr="00FC4A20">
        <w:rPr>
          <w:rFonts w:ascii="Courier New" w:hAnsi="Courier New" w:cs="Courier New"/>
        </w:rPr>
        <w:t>exposure_dat$SNP</w:t>
      </w:r>
      <w:proofErr w:type="spellEnd"/>
      <w:r w:rsidRPr="00FC4A20">
        <w:rPr>
          <w:rFonts w:ascii="Courier New" w:hAnsi="Courier New" w:cs="Courier New"/>
        </w:rPr>
        <w:t xml:space="preserve">, c('24'), proxies = 1, </w:t>
      </w:r>
      <w:proofErr w:type="spellStart"/>
      <w:r w:rsidRPr="00FC4A20">
        <w:rPr>
          <w:rFonts w:ascii="Courier New" w:hAnsi="Courier New" w:cs="Courier New"/>
        </w:rPr>
        <w:t>rsq</w:t>
      </w:r>
      <w:proofErr w:type="spellEnd"/>
      <w:r w:rsidRPr="00FC4A20">
        <w:rPr>
          <w:rFonts w:ascii="Courier New" w:hAnsi="Courier New" w:cs="Courier New"/>
        </w:rPr>
        <w:t xml:space="preserve"> = 0.8, </w:t>
      </w:r>
      <w:proofErr w:type="spellStart"/>
      <w:r w:rsidRPr="00FC4A20">
        <w:rPr>
          <w:rFonts w:ascii="Courier New" w:hAnsi="Courier New" w:cs="Courier New"/>
        </w:rPr>
        <w:t>align_alleles</w:t>
      </w:r>
      <w:proofErr w:type="spellEnd"/>
      <w:r w:rsidRPr="00FC4A20">
        <w:rPr>
          <w:rFonts w:ascii="Courier New" w:hAnsi="Courier New" w:cs="Courier New"/>
        </w:rPr>
        <w:t xml:space="preserve"> = 1, palindromes = 1, </w:t>
      </w:r>
      <w:proofErr w:type="spellStart"/>
      <w:r w:rsidRPr="00FC4A20">
        <w:rPr>
          <w:rFonts w:ascii="Courier New" w:hAnsi="Courier New" w:cs="Courier New"/>
        </w:rPr>
        <w:t>maf_threshold</w:t>
      </w:r>
      <w:proofErr w:type="spellEnd"/>
      <w:r w:rsidRPr="00FC4A20">
        <w:rPr>
          <w:rFonts w:ascii="Courier New" w:hAnsi="Courier New" w:cs="Courier New"/>
        </w:rPr>
        <w:t xml:space="preserve"> = 0.3)</w:t>
      </w:r>
    </w:p>
    <w:p w14:paraId="0CDD6CFC" w14:textId="77777777" w:rsidR="00FC4A20" w:rsidRPr="00FC4A20" w:rsidRDefault="00FC4A20" w:rsidP="00FC4A20">
      <w:pPr>
        <w:rPr>
          <w:rFonts w:ascii="Courier New" w:hAnsi="Courier New" w:cs="Courier New"/>
        </w:rPr>
      </w:pPr>
      <w:proofErr w:type="spellStart"/>
      <w:r w:rsidRPr="00FC4A20">
        <w:rPr>
          <w:rFonts w:ascii="Courier New" w:hAnsi="Courier New" w:cs="Courier New"/>
        </w:rPr>
        <w:t>dat</w:t>
      </w:r>
      <w:proofErr w:type="spellEnd"/>
      <w:r w:rsidRPr="00FC4A20">
        <w:rPr>
          <w:rFonts w:ascii="Courier New" w:hAnsi="Courier New" w:cs="Courier New"/>
        </w:rPr>
        <w:t xml:space="preserve"> &lt;- </w:t>
      </w:r>
      <w:proofErr w:type="spellStart"/>
      <w:r w:rsidRPr="00FC4A20">
        <w:rPr>
          <w:rFonts w:ascii="Courier New" w:hAnsi="Courier New" w:cs="Courier New"/>
        </w:rPr>
        <w:t>harmonise_</w:t>
      </w:r>
      <w:proofErr w:type="gramStart"/>
      <w:r w:rsidRPr="00FC4A20">
        <w:rPr>
          <w:rFonts w:ascii="Courier New" w:hAnsi="Courier New" w:cs="Courier New"/>
        </w:rPr>
        <w:t>data</w:t>
      </w:r>
      <w:proofErr w:type="spellEnd"/>
      <w:r w:rsidRPr="00FC4A20">
        <w:rPr>
          <w:rFonts w:ascii="Courier New" w:hAnsi="Courier New" w:cs="Courier New"/>
        </w:rPr>
        <w:t>(</w:t>
      </w:r>
      <w:proofErr w:type="spellStart"/>
      <w:proofErr w:type="gramEnd"/>
      <w:r w:rsidRPr="00FC4A20">
        <w:rPr>
          <w:rFonts w:ascii="Courier New" w:hAnsi="Courier New" w:cs="Courier New"/>
        </w:rPr>
        <w:t>exposure_dat</w:t>
      </w:r>
      <w:proofErr w:type="spellEnd"/>
      <w:r w:rsidRPr="00FC4A20">
        <w:rPr>
          <w:rFonts w:ascii="Courier New" w:hAnsi="Courier New" w:cs="Courier New"/>
        </w:rPr>
        <w:t xml:space="preserve">, </w:t>
      </w:r>
      <w:proofErr w:type="spellStart"/>
      <w:r w:rsidRPr="00FC4A20">
        <w:rPr>
          <w:rFonts w:ascii="Courier New" w:hAnsi="Courier New" w:cs="Courier New"/>
        </w:rPr>
        <w:t>outcome_dat</w:t>
      </w:r>
      <w:proofErr w:type="spellEnd"/>
      <w:r w:rsidRPr="00FC4A20">
        <w:rPr>
          <w:rFonts w:ascii="Courier New" w:hAnsi="Courier New" w:cs="Courier New"/>
        </w:rPr>
        <w:t>, action = 2)</w:t>
      </w:r>
    </w:p>
    <w:p w14:paraId="123018AF" w14:textId="2027246A" w:rsidR="00FC4A20" w:rsidRPr="00FC4A20" w:rsidRDefault="00FC4A20" w:rsidP="00FC4A20">
      <w:pPr>
        <w:rPr>
          <w:rFonts w:ascii="Courier New" w:hAnsi="Courier New" w:cs="Courier New"/>
        </w:rPr>
      </w:pPr>
      <w:proofErr w:type="spellStart"/>
      <w:r w:rsidRPr="00FC4A20">
        <w:rPr>
          <w:rFonts w:ascii="Courier New" w:hAnsi="Courier New" w:cs="Courier New"/>
        </w:rPr>
        <w:t>mr_results</w:t>
      </w:r>
      <w:proofErr w:type="spellEnd"/>
      <w:r w:rsidRPr="00FC4A20">
        <w:rPr>
          <w:rFonts w:ascii="Courier New" w:hAnsi="Courier New" w:cs="Courier New"/>
        </w:rPr>
        <w:t xml:space="preserve"> &lt;- </w:t>
      </w:r>
      <w:proofErr w:type="spellStart"/>
      <w:r w:rsidRPr="00FC4A20">
        <w:rPr>
          <w:rFonts w:ascii="Courier New" w:hAnsi="Courier New" w:cs="Courier New"/>
        </w:rPr>
        <w:t>mr</w:t>
      </w:r>
      <w:proofErr w:type="spellEnd"/>
      <w:r w:rsidRPr="00FC4A20">
        <w:rPr>
          <w:rFonts w:ascii="Courier New" w:hAnsi="Courier New" w:cs="Courier New"/>
        </w:rPr>
        <w:t>(</w:t>
      </w:r>
      <w:proofErr w:type="spellStart"/>
      <w:r w:rsidRPr="00FC4A20">
        <w:rPr>
          <w:rFonts w:ascii="Courier New" w:hAnsi="Courier New" w:cs="Courier New"/>
        </w:rPr>
        <w:t>dat</w:t>
      </w:r>
      <w:proofErr w:type="spellEnd"/>
      <w:r w:rsidRPr="00FC4A20">
        <w:rPr>
          <w:rFonts w:ascii="Courier New" w:hAnsi="Courier New" w:cs="Courier New"/>
        </w:rPr>
        <w:t>)</w:t>
      </w:r>
    </w:p>
    <w:p w14:paraId="18ACC14A" w14:textId="77777777" w:rsidR="00FC4A20" w:rsidRDefault="00FC4A20" w:rsidP="00FC4A20"/>
    <w:p w14:paraId="759F28C8" w14:textId="56F2FCC4" w:rsidR="0007601D" w:rsidRDefault="0007601D" w:rsidP="00264A93">
      <w:pPr>
        <w:pStyle w:val="Heading2"/>
      </w:pPr>
      <w:r>
        <w:t>References</w:t>
      </w:r>
    </w:p>
    <w:p w14:paraId="08895AC2" w14:textId="06627BEA" w:rsidR="0007601D" w:rsidRDefault="0007601D" w:rsidP="00264A93"/>
    <w:p w14:paraId="1B3A9E83" w14:textId="77777777" w:rsidR="00164667" w:rsidRPr="00164667" w:rsidRDefault="00A605E2" w:rsidP="00164667">
      <w:pPr>
        <w:pStyle w:val="Bibliography"/>
        <w:rPr>
          <w:rFonts w:ascii="Calibri Light" w:hAnsi="Calibri Light"/>
        </w:rPr>
      </w:pPr>
      <w:r>
        <w:fldChar w:fldCharType="begin"/>
      </w:r>
      <w:r w:rsidR="00164667">
        <w:instrText xml:space="preserve"> ADDIN ZOTERO_BIBL {"custom":[]} CSL_BIBLIOGRAPHY </w:instrText>
      </w:r>
      <w:r>
        <w:fldChar w:fldCharType="separate"/>
      </w:r>
      <w:r w:rsidR="00164667" w:rsidRPr="00164667">
        <w:rPr>
          <w:rFonts w:ascii="Calibri Light" w:hAnsi="Calibri Light"/>
        </w:rPr>
        <w:t xml:space="preserve">1 </w:t>
      </w:r>
      <w:r w:rsidR="00164667" w:rsidRPr="00164667">
        <w:rPr>
          <w:rFonts w:ascii="Calibri Light" w:hAnsi="Calibri Light"/>
        </w:rPr>
        <w:tab/>
        <w:t xml:space="preserve">Swerdlow DI, Preiss D, Kuchenbaecker KB, </w:t>
      </w:r>
      <w:r w:rsidR="00164667" w:rsidRPr="00164667">
        <w:rPr>
          <w:rFonts w:ascii="Calibri Light" w:hAnsi="Calibri Light"/>
          <w:i/>
          <w:iCs/>
        </w:rPr>
        <w:t>et al.</w:t>
      </w:r>
      <w:r w:rsidR="00164667" w:rsidRPr="00164667">
        <w:rPr>
          <w:rFonts w:ascii="Calibri Light" w:hAnsi="Calibri Light"/>
        </w:rPr>
        <w:t xml:space="preserve"> HMG-coenzyme A reductase inhibition, type 2 diabetes, and bodyweight: evidence from genetic analysis and randomised trials. </w:t>
      </w:r>
      <w:r w:rsidR="00164667" w:rsidRPr="00164667">
        <w:rPr>
          <w:rFonts w:ascii="Calibri Light" w:hAnsi="Calibri Light"/>
          <w:i/>
          <w:iCs/>
        </w:rPr>
        <w:t>The Lancet</w:t>
      </w:r>
      <w:r w:rsidR="00164667" w:rsidRPr="00164667">
        <w:rPr>
          <w:rFonts w:ascii="Calibri Light" w:hAnsi="Calibri Light"/>
        </w:rPr>
        <w:t xml:space="preserve"> 2015;</w:t>
      </w:r>
      <w:r w:rsidR="00164667" w:rsidRPr="00164667">
        <w:rPr>
          <w:rFonts w:ascii="Calibri Light" w:hAnsi="Calibri Light"/>
          <w:b/>
          <w:bCs/>
        </w:rPr>
        <w:t>385</w:t>
      </w:r>
      <w:r w:rsidR="00164667" w:rsidRPr="00164667">
        <w:rPr>
          <w:rFonts w:ascii="Calibri Light" w:hAnsi="Calibri Light"/>
        </w:rPr>
        <w:t>:351–61. doi:10.1016/S0140-6736(14)61183-1</w:t>
      </w:r>
    </w:p>
    <w:p w14:paraId="32DFBC44" w14:textId="77777777" w:rsidR="00164667" w:rsidRPr="00164667" w:rsidRDefault="00164667" w:rsidP="00164667">
      <w:pPr>
        <w:pStyle w:val="Bibliography"/>
        <w:rPr>
          <w:rFonts w:ascii="Calibri Light" w:hAnsi="Calibri Light"/>
        </w:rPr>
      </w:pPr>
      <w:r w:rsidRPr="00164667">
        <w:rPr>
          <w:rFonts w:ascii="Calibri Light" w:hAnsi="Calibri Light"/>
        </w:rPr>
        <w:t xml:space="preserve">2 </w:t>
      </w:r>
      <w:r w:rsidRPr="00164667">
        <w:rPr>
          <w:rFonts w:ascii="Calibri Light" w:hAnsi="Calibri Light"/>
        </w:rPr>
        <w:tab/>
        <w:t xml:space="preserve">Morris AP, Voight BF, Teslovich TM, </w:t>
      </w:r>
      <w:r w:rsidRPr="00164667">
        <w:rPr>
          <w:rFonts w:ascii="Calibri Light" w:hAnsi="Calibri Light"/>
          <w:i/>
          <w:iCs/>
        </w:rPr>
        <w:t>et al.</w:t>
      </w:r>
      <w:r w:rsidRPr="00164667">
        <w:rPr>
          <w:rFonts w:ascii="Calibri Light" w:hAnsi="Calibri Light"/>
        </w:rPr>
        <w:t xml:space="preserve"> Large-scale association analysis provides insights into the genetic architecture and pathophysiology of type 2 diabetes. </w:t>
      </w:r>
      <w:r w:rsidRPr="00164667">
        <w:rPr>
          <w:rFonts w:ascii="Calibri Light" w:hAnsi="Calibri Light"/>
          <w:i/>
          <w:iCs/>
        </w:rPr>
        <w:t>Nat Genet</w:t>
      </w:r>
      <w:r w:rsidRPr="00164667">
        <w:rPr>
          <w:rFonts w:ascii="Calibri Light" w:hAnsi="Calibri Light"/>
        </w:rPr>
        <w:t xml:space="preserve"> 2012;</w:t>
      </w:r>
      <w:r w:rsidRPr="00164667">
        <w:rPr>
          <w:rFonts w:ascii="Calibri Light" w:hAnsi="Calibri Light"/>
          <w:b/>
          <w:bCs/>
        </w:rPr>
        <w:t>44</w:t>
      </w:r>
      <w:r w:rsidRPr="00164667">
        <w:rPr>
          <w:rFonts w:ascii="Calibri Light" w:hAnsi="Calibri Light"/>
        </w:rPr>
        <w:t>:981–90. doi:10.1038/ng.2383</w:t>
      </w:r>
    </w:p>
    <w:p w14:paraId="0B387715" w14:textId="4C464AC7" w:rsidR="002F175F" w:rsidRPr="0007601D" w:rsidRDefault="00A605E2" w:rsidP="00264A93">
      <w:r>
        <w:fldChar w:fldCharType="end"/>
      </w:r>
    </w:p>
    <w:sectPr w:rsidR="002F175F" w:rsidRPr="0007601D" w:rsidSect="007E4EB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52539"/>
    <w:multiLevelType w:val="hybridMultilevel"/>
    <w:tmpl w:val="52526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420674"/>
    <w:multiLevelType w:val="hybridMultilevel"/>
    <w:tmpl w:val="88F6B5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D955E2A"/>
    <w:multiLevelType w:val="hybridMultilevel"/>
    <w:tmpl w:val="91C25566"/>
    <w:lvl w:ilvl="0" w:tplc="6F440D26">
      <w:start w:val="1"/>
      <w:numFmt w:val="decimal"/>
      <w:suff w:val="space"/>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5C92850"/>
    <w:multiLevelType w:val="hybridMultilevel"/>
    <w:tmpl w:val="6CE616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13261EF"/>
    <w:multiLevelType w:val="hybridMultilevel"/>
    <w:tmpl w:val="6508735E"/>
    <w:lvl w:ilvl="0" w:tplc="4CBE964A">
      <w:start w:val="1"/>
      <w:numFmt w:val="decimal"/>
      <w:suff w:val="space"/>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1B1"/>
    <w:rsid w:val="00064C53"/>
    <w:rsid w:val="00074FB1"/>
    <w:rsid w:val="0007601D"/>
    <w:rsid w:val="000A00BF"/>
    <w:rsid w:val="000F6326"/>
    <w:rsid w:val="00115E60"/>
    <w:rsid w:val="00164128"/>
    <w:rsid w:val="00164667"/>
    <w:rsid w:val="00177D93"/>
    <w:rsid w:val="0018025E"/>
    <w:rsid w:val="00264A93"/>
    <w:rsid w:val="002F175F"/>
    <w:rsid w:val="002F5FA8"/>
    <w:rsid w:val="003D7823"/>
    <w:rsid w:val="0043201F"/>
    <w:rsid w:val="00455546"/>
    <w:rsid w:val="004E750B"/>
    <w:rsid w:val="00513FC3"/>
    <w:rsid w:val="0051667D"/>
    <w:rsid w:val="00561743"/>
    <w:rsid w:val="005B7F60"/>
    <w:rsid w:val="0060596A"/>
    <w:rsid w:val="00744FE3"/>
    <w:rsid w:val="007D3AE3"/>
    <w:rsid w:val="007E4EB9"/>
    <w:rsid w:val="007F4C20"/>
    <w:rsid w:val="00812DA0"/>
    <w:rsid w:val="00834C4D"/>
    <w:rsid w:val="00A101B1"/>
    <w:rsid w:val="00A605E2"/>
    <w:rsid w:val="00AF0383"/>
    <w:rsid w:val="00B02297"/>
    <w:rsid w:val="00B4492C"/>
    <w:rsid w:val="00BB26AE"/>
    <w:rsid w:val="00C266B4"/>
    <w:rsid w:val="00C91165"/>
    <w:rsid w:val="00C93F5F"/>
    <w:rsid w:val="00D30087"/>
    <w:rsid w:val="00DF2B51"/>
    <w:rsid w:val="00E04FE4"/>
    <w:rsid w:val="00E720FB"/>
    <w:rsid w:val="00EA3BA6"/>
    <w:rsid w:val="00FC4A20"/>
    <w:rsid w:val="00FF63D7"/>
    <w:rsid w:val="00FF7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361A1"/>
  <w15:chartTrackingRefBased/>
  <w15:docId w15:val="{422E664B-D933-4C74-8D50-E4BB18FD3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4A93"/>
    <w:pPr>
      <w:spacing w:after="0" w:line="240" w:lineRule="auto"/>
      <w:contextualSpacing/>
    </w:pPr>
    <w:rPr>
      <w:rFonts w:asciiTheme="majorHAnsi" w:hAnsiTheme="majorHAnsi"/>
      <w:sz w:val="24"/>
      <w:szCs w:val="24"/>
      <w:lang w:val="en-GB"/>
    </w:rPr>
  </w:style>
  <w:style w:type="paragraph" w:styleId="Heading1">
    <w:name w:val="heading 1"/>
    <w:basedOn w:val="Normal"/>
    <w:next w:val="Normal"/>
    <w:link w:val="Heading1Char"/>
    <w:uiPriority w:val="9"/>
    <w:qFormat/>
    <w:rsid w:val="0007601D"/>
    <w:pPr>
      <w:keepNext/>
      <w:keepLines/>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4EB9"/>
    <w:pPr>
      <w:keepNext/>
      <w:keepLines/>
      <w:outlineLvl w:val="1"/>
    </w:pPr>
    <w:rPr>
      <w:rFonts w:eastAsiaTheme="majorEastAsia"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E04FE4"/>
    <w:pPr>
      <w:keepNext/>
      <w:keepLines/>
      <w:spacing w:before="40"/>
      <w:outlineLvl w:val="2"/>
    </w:pPr>
    <w:rPr>
      <w:rFonts w:eastAsiaTheme="majorEastAsia" w:cstheme="majorBidi"/>
      <w:color w:val="1F3864" w:themeColor="accent1" w:themeShade="80"/>
    </w:rPr>
  </w:style>
  <w:style w:type="paragraph" w:styleId="Heading4">
    <w:name w:val="heading 4"/>
    <w:basedOn w:val="Normal"/>
    <w:next w:val="Normal"/>
    <w:link w:val="Heading4Char"/>
    <w:uiPriority w:val="9"/>
    <w:unhideWhenUsed/>
    <w:qFormat/>
    <w:rsid w:val="00E04FE4"/>
    <w:pPr>
      <w:keepNext/>
      <w:keepLines/>
      <w:spacing w:before="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04FE4"/>
    <w:pPr>
      <w:keepNext/>
      <w:keepLines/>
      <w:spacing w:before="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04FE4"/>
    <w:pPr>
      <w:keepNext/>
      <w:keepLines/>
      <w:spacing w:before="40"/>
      <w:outlineLvl w:val="5"/>
    </w:pPr>
    <w:rPr>
      <w:rFonts w:eastAsiaTheme="majorEastAsia" w:cstheme="majorBidi"/>
      <w:color w:val="1F3864" w:themeColor="accent1" w:themeShade="80"/>
    </w:rPr>
  </w:style>
  <w:style w:type="paragraph" w:styleId="Heading7">
    <w:name w:val="heading 7"/>
    <w:basedOn w:val="Normal"/>
    <w:next w:val="Normal"/>
    <w:link w:val="Heading7Char"/>
    <w:uiPriority w:val="9"/>
    <w:semiHidden/>
    <w:unhideWhenUsed/>
    <w:qFormat/>
    <w:rsid w:val="00E04FE4"/>
    <w:pPr>
      <w:keepNext/>
      <w:keepLines/>
      <w:spacing w:before="40"/>
      <w:outlineLvl w:val="6"/>
    </w:pPr>
    <w:rPr>
      <w:rFonts w:eastAsiaTheme="majorEastAsia" w:cstheme="majorBidi"/>
      <w:i/>
      <w:iCs/>
      <w:color w:val="1F3864" w:themeColor="accent1" w:themeShade="80"/>
    </w:rPr>
  </w:style>
  <w:style w:type="paragraph" w:styleId="Heading8">
    <w:name w:val="heading 8"/>
    <w:basedOn w:val="Normal"/>
    <w:next w:val="Normal"/>
    <w:link w:val="Heading8Char"/>
    <w:uiPriority w:val="9"/>
    <w:semiHidden/>
    <w:unhideWhenUsed/>
    <w:qFormat/>
    <w:rsid w:val="00E04FE4"/>
    <w:pPr>
      <w:keepNext/>
      <w:keepLines/>
      <w:spacing w:before="40"/>
      <w:outlineLvl w:val="7"/>
    </w:pPr>
    <w:rPr>
      <w:rFonts w:eastAsiaTheme="majorEastAsia"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E04FE4"/>
    <w:pPr>
      <w:keepNext/>
      <w:keepLines/>
      <w:spacing w:before="40"/>
      <w:outlineLvl w:val="8"/>
    </w:pPr>
    <w:rPr>
      <w:rFonts w:eastAsiaTheme="majorEastAsia"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01D"/>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7E4EB9"/>
    <w:rPr>
      <w:rFonts w:asciiTheme="majorHAnsi" w:eastAsiaTheme="majorEastAsia" w:hAnsiTheme="majorHAnsi" w:cstheme="majorBidi"/>
      <w:color w:val="2F5496" w:themeColor="accent1" w:themeShade="BF"/>
      <w:sz w:val="28"/>
      <w:szCs w:val="28"/>
      <w:lang w:val="en-GB"/>
    </w:rPr>
  </w:style>
  <w:style w:type="character" w:customStyle="1" w:styleId="Heading3Char">
    <w:name w:val="Heading 3 Char"/>
    <w:basedOn w:val="DefaultParagraphFont"/>
    <w:link w:val="Heading3"/>
    <w:uiPriority w:val="9"/>
    <w:rsid w:val="00E04FE4"/>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rsid w:val="00E04FE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04FE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04FE4"/>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semiHidden/>
    <w:rsid w:val="00E04FE4"/>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E04FE4"/>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E04FE4"/>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E04FE4"/>
    <w:pPr>
      <w:spacing w:after="200"/>
    </w:pPr>
    <w:rPr>
      <w:i/>
      <w:iCs/>
      <w:color w:val="44546A" w:themeColor="text2"/>
      <w:sz w:val="18"/>
      <w:szCs w:val="18"/>
    </w:rPr>
  </w:style>
  <w:style w:type="paragraph" w:styleId="Title">
    <w:name w:val="Title"/>
    <w:basedOn w:val="Normal"/>
    <w:next w:val="Normal"/>
    <w:link w:val="TitleChar"/>
    <w:uiPriority w:val="10"/>
    <w:qFormat/>
    <w:rsid w:val="00E04FE4"/>
    <w:rPr>
      <w:rFonts w:eastAsiaTheme="majorEastAsia" w:cstheme="majorBidi"/>
      <w:spacing w:val="-10"/>
      <w:sz w:val="56"/>
      <w:szCs w:val="56"/>
    </w:rPr>
  </w:style>
  <w:style w:type="character" w:customStyle="1" w:styleId="TitleChar">
    <w:name w:val="Title Char"/>
    <w:basedOn w:val="DefaultParagraphFont"/>
    <w:link w:val="Title"/>
    <w:uiPriority w:val="10"/>
    <w:rsid w:val="00E04FE4"/>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E04FE4"/>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04FE4"/>
    <w:rPr>
      <w:color w:val="5A5A5A" w:themeColor="text1" w:themeTint="A5"/>
      <w:spacing w:val="15"/>
    </w:rPr>
  </w:style>
  <w:style w:type="character" w:styleId="Strong">
    <w:name w:val="Strong"/>
    <w:basedOn w:val="DefaultParagraphFont"/>
    <w:uiPriority w:val="22"/>
    <w:qFormat/>
    <w:rsid w:val="00E04FE4"/>
    <w:rPr>
      <w:b/>
      <w:bCs/>
      <w:color w:val="auto"/>
    </w:rPr>
  </w:style>
  <w:style w:type="character" w:styleId="Emphasis">
    <w:name w:val="Emphasis"/>
    <w:basedOn w:val="DefaultParagraphFont"/>
    <w:uiPriority w:val="20"/>
    <w:qFormat/>
    <w:rsid w:val="00E04FE4"/>
    <w:rPr>
      <w:i/>
      <w:iCs/>
      <w:color w:val="auto"/>
    </w:rPr>
  </w:style>
  <w:style w:type="paragraph" w:styleId="NoSpacing">
    <w:name w:val="No Spacing"/>
    <w:uiPriority w:val="1"/>
    <w:qFormat/>
    <w:rsid w:val="00E04FE4"/>
    <w:pPr>
      <w:spacing w:after="0" w:line="240" w:lineRule="auto"/>
    </w:pPr>
  </w:style>
  <w:style w:type="paragraph" w:styleId="ListParagraph">
    <w:name w:val="List Paragraph"/>
    <w:basedOn w:val="Normal"/>
    <w:uiPriority w:val="34"/>
    <w:qFormat/>
    <w:rsid w:val="00E04FE4"/>
    <w:pPr>
      <w:ind w:left="720"/>
    </w:pPr>
  </w:style>
  <w:style w:type="paragraph" w:styleId="Quote">
    <w:name w:val="Quote"/>
    <w:basedOn w:val="Normal"/>
    <w:next w:val="Normal"/>
    <w:link w:val="QuoteChar"/>
    <w:uiPriority w:val="29"/>
    <w:qFormat/>
    <w:rsid w:val="00E04FE4"/>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E04FE4"/>
    <w:rPr>
      <w:i/>
      <w:iCs/>
      <w:color w:val="404040" w:themeColor="text1" w:themeTint="BF"/>
    </w:rPr>
  </w:style>
  <w:style w:type="paragraph" w:styleId="IntenseQuote">
    <w:name w:val="Intense Quote"/>
    <w:basedOn w:val="Normal"/>
    <w:next w:val="Normal"/>
    <w:link w:val="IntenseQuoteChar"/>
    <w:uiPriority w:val="30"/>
    <w:qFormat/>
    <w:rsid w:val="00E04FE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04FE4"/>
    <w:rPr>
      <w:i/>
      <w:iCs/>
      <w:color w:val="4472C4" w:themeColor="accent1"/>
    </w:rPr>
  </w:style>
  <w:style w:type="character" w:styleId="SubtleEmphasis">
    <w:name w:val="Subtle Emphasis"/>
    <w:basedOn w:val="DefaultParagraphFont"/>
    <w:uiPriority w:val="19"/>
    <w:qFormat/>
    <w:rsid w:val="00E04FE4"/>
    <w:rPr>
      <w:i/>
      <w:iCs/>
      <w:color w:val="404040" w:themeColor="text1" w:themeTint="BF"/>
    </w:rPr>
  </w:style>
  <w:style w:type="character" w:styleId="IntenseEmphasis">
    <w:name w:val="Intense Emphasis"/>
    <w:basedOn w:val="DefaultParagraphFont"/>
    <w:uiPriority w:val="21"/>
    <w:qFormat/>
    <w:rsid w:val="00E04FE4"/>
    <w:rPr>
      <w:i/>
      <w:iCs/>
      <w:color w:val="4472C4" w:themeColor="accent1"/>
    </w:rPr>
  </w:style>
  <w:style w:type="character" w:styleId="SubtleReference">
    <w:name w:val="Subtle Reference"/>
    <w:basedOn w:val="DefaultParagraphFont"/>
    <w:uiPriority w:val="31"/>
    <w:qFormat/>
    <w:rsid w:val="00E04FE4"/>
    <w:rPr>
      <w:smallCaps/>
      <w:color w:val="404040" w:themeColor="text1" w:themeTint="BF"/>
    </w:rPr>
  </w:style>
  <w:style w:type="character" w:styleId="IntenseReference">
    <w:name w:val="Intense Reference"/>
    <w:basedOn w:val="DefaultParagraphFont"/>
    <w:uiPriority w:val="32"/>
    <w:qFormat/>
    <w:rsid w:val="00E04FE4"/>
    <w:rPr>
      <w:b/>
      <w:bCs/>
      <w:smallCaps/>
      <w:color w:val="4472C4" w:themeColor="accent1"/>
      <w:spacing w:val="5"/>
    </w:rPr>
  </w:style>
  <w:style w:type="character" w:styleId="BookTitle">
    <w:name w:val="Book Title"/>
    <w:basedOn w:val="DefaultParagraphFont"/>
    <w:uiPriority w:val="33"/>
    <w:qFormat/>
    <w:rsid w:val="00E04FE4"/>
    <w:rPr>
      <w:b/>
      <w:bCs/>
      <w:i/>
      <w:iCs/>
      <w:spacing w:val="5"/>
    </w:rPr>
  </w:style>
  <w:style w:type="paragraph" w:styleId="TOCHeading">
    <w:name w:val="TOC Heading"/>
    <w:basedOn w:val="Heading1"/>
    <w:next w:val="Normal"/>
    <w:uiPriority w:val="39"/>
    <w:unhideWhenUsed/>
    <w:qFormat/>
    <w:rsid w:val="00E04FE4"/>
    <w:pPr>
      <w:outlineLvl w:val="9"/>
    </w:pPr>
  </w:style>
  <w:style w:type="table" w:styleId="TableGrid">
    <w:name w:val="Table Grid"/>
    <w:basedOn w:val="TableNormal"/>
    <w:uiPriority w:val="39"/>
    <w:rsid w:val="00A101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30087"/>
    <w:rPr>
      <w:color w:val="0563C1" w:themeColor="hyperlink"/>
      <w:u w:val="single"/>
    </w:rPr>
  </w:style>
  <w:style w:type="character" w:styleId="UnresolvedMention">
    <w:name w:val="Unresolved Mention"/>
    <w:basedOn w:val="DefaultParagraphFont"/>
    <w:uiPriority w:val="99"/>
    <w:semiHidden/>
    <w:unhideWhenUsed/>
    <w:rsid w:val="00D30087"/>
    <w:rPr>
      <w:color w:val="605E5C"/>
      <w:shd w:val="clear" w:color="auto" w:fill="E1DFDD"/>
    </w:rPr>
  </w:style>
  <w:style w:type="paragraph" w:styleId="Bibliography">
    <w:name w:val="Bibliography"/>
    <w:basedOn w:val="Normal"/>
    <w:next w:val="Normal"/>
    <w:uiPriority w:val="37"/>
    <w:unhideWhenUsed/>
    <w:rsid w:val="00A605E2"/>
    <w:pPr>
      <w:tabs>
        <w:tab w:val="left" w:pos="264"/>
      </w:tabs>
      <w:spacing w:after="240"/>
      <w:ind w:left="264" w:hanging="264"/>
    </w:pPr>
  </w:style>
  <w:style w:type="paragraph" w:styleId="BalloonText">
    <w:name w:val="Balloon Text"/>
    <w:basedOn w:val="Normal"/>
    <w:link w:val="BalloonTextChar"/>
    <w:uiPriority w:val="99"/>
    <w:semiHidden/>
    <w:unhideWhenUsed/>
    <w:rsid w:val="0016412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4128"/>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4116399">
      <w:bodyDiv w:val="1"/>
      <w:marLeft w:val="0"/>
      <w:marRight w:val="0"/>
      <w:marTop w:val="0"/>
      <w:marBottom w:val="0"/>
      <w:divBdr>
        <w:top w:val="none" w:sz="0" w:space="0" w:color="auto"/>
        <w:left w:val="none" w:sz="0" w:space="0" w:color="auto"/>
        <w:bottom w:val="none" w:sz="0" w:space="0" w:color="auto"/>
        <w:right w:val="none" w:sz="0" w:space="0" w:color="auto"/>
      </w:divBdr>
    </w:div>
    <w:div w:id="1579440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rbas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3315</Words>
  <Characters>18902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VMW</dc:creator>
  <cp:keywords/>
  <dc:description/>
  <cp:lastModifiedBy>VMW</cp:lastModifiedBy>
  <cp:revision>14</cp:revision>
  <dcterms:created xsi:type="dcterms:W3CDTF">2018-10-08T08:54:00Z</dcterms:created>
  <dcterms:modified xsi:type="dcterms:W3CDTF">2019-02-08T16:15:00Z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zotero-version="5.0.34"&gt;&lt;session id="Y5qNT2nK"/&gt;&lt;style id="http://www.zotero.org/styles/bmj-open" hasBibliography="1" bibliographyStyleHasBeenSet="1"/&gt;&lt;prefs&gt;&lt;pref name="fieldType" value="Field"/&gt;&lt;pref name="automaticJournalAbbrevia</vt:lpwstr>
  </property>
  <property fmtid="{D5CDD505-2E9C-101B-9397-08002B2CF9AE}" pid="3" name="ZOTERO_PREF_2">
    <vt:lpwstr>tions" value="true"/&gt;&lt;pref name="noteType" value="0"/&gt;&lt;/prefs&gt;&lt;/data&gt;</vt:lpwstr>
  </property>
</Properties>
</file>