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Methods</w:t>
      </w:r>
    </w:p>
    <w:p>
      <w:pPr>
        <w:pStyle w:val="Heading1"/>
      </w:pPr>
      <w:r>
        <w:t>2 Methods</w:t>
      </w:r>
    </w:p>
    <w:p>
      <w:pPr>
        <w:pStyle w:val="Heading2"/>
      </w:pPr>
      <w:r>
        <w:t>2.1 Systems data and the experiment sequence</w:t>
      </w:r>
    </w:p>
    <w:p>
      <w:r>
        <w:t>The systems are one-dimensional periodic fields with fully observed states and known forcing actions. The initial experiment contains the wave, viscous Burgers, Kuramoto–Sivashinsky, advection–diffusion, Allen–Cahn, and Gray–Scott equations. The later selector experiment adds Cahn–Hilliard and FitzHugh–Nagumo. Supplementary Section S1 gives the implemented equations, numerical updates, parameter ranges, and initial conditions. All systems are dimensionless.</w:t>
      </w:r>
    </w:p>
    <w:p>
      <w:r>
        <w:t>Each equation and experimental stage uses 128 training trajectories and 24 validation trajectories. Test evaluation uses 64 independent trajectories from the training coefficient ranges and another 64 from a specified shifted distribution. Each trajectory has 24 burn-in transitions followed by 160 recorded transitions. Coefficients are constant within a trajectory and vary across trajectories. Training coefficients are sampled independently from 0.85–1.15 times their equation-specific centers. Shifted evaluation draws every coordinate from 1.30–1.50 times its center. All candidates within a setting share the observed data and evaluation trajectories.</w:t>
      </w:r>
    </w:p>
    <w:p>
      <w:r>
        <w:t>Table 1 describes the sequence. The initial study has 864 neural fits. A resolution follow-up adds 288 fits for waves, advection–diffusion, and Allen–Cahn at 32 and 64 cells. A selector follow-up adds 432 fits for Cahn–Hilliard and FitzHugh–Nagumo at 64 cells. The total is 1,584 archived neural fits. Different seeds vary neural initialization and training-window sampling. They share the generated training and validation trajectories within each setting.</w:t>
      </w:r>
    </w:p>
    <w:p>
      <w:r>
        <w:t>The calibration extension uses 30 combinations of experimental stage, equation, grid, and supplied physical information. There are 14 correct-coefficient settings, 14 biased-coefficient settings, and two omitted-term settings. The 14-setting groups include repeated equations under different grids or data draws. They represent eight physical families. No neural weights are retrained in the extension.</w:t>
      </w:r>
    </w:p>
    <w:p>
      <w:r>
        <w:t>The experiment sequence affects the strength of the statistical claims. The original follow-up froze its augmentation directions and selector configuration after inspecting development results and before its new test evaluations. The later calibration study was motivated by inspection of the archived results. It freezes its own fitting and validation choices before new test evaluation, and it remains an exploratory extension of an already observed study. There was no external preregistration.</w:t>
      </w:r>
    </w:p>
    <w:p>
      <w:pPr>
        <w:pStyle w:val="Heading2"/>
      </w:pPr>
      <w:r>
        <w:t>2.2 Physical forecasts and coefficient calibration</w:t>
      </w:r>
    </w:p>
    <w:p>
      <w:r>
        <w:t>A standalone physical forecast starts from the last of the four observed context states and repeatedly applies the available numerical transition under the supplied future actions. A physical prior here means the supplied equation and coefficient information. The correct prior uses the generating equation and coefficients with a coarser temporal update where the implementation has distinct fidelity levels. Advection–diffusion uses an exact affine Fourier-mode transition, so its fidelity levels coincide up to rounding. Persistence, which repeats the last observed state, is retained as an additional baseline.</w:t>
      </w:r>
    </w:p>
    <w:p>
      <w:r>
        <w:t>The biased prior multiplies the three supplied coefficients by 0.70, 1.30, and 1.40. The structural prior omits a specified term. For Cahn–Hilliard it removes the cubic contribution to chemical-potential diffusion and retains the destabilizing linear contribution. For FitzHugh–Nagumo it removes the recovery variable's contribution to the activator equation; the recovery equation remains present. These changes are maintained during calibration.</w:t>
      </w:r>
    </w:p>
    <w:p>
      <w:r>
        <w:t>Let q be the supplied coefficient vector for a trajectory and z a vector of three log corrections shared across all trajectories in one setting. The calibrated coefficients are</w:t>
      </w:r>
    </w:p>
    <w:p>
      <w:pPr>
        <w:keepLines/>
        <w:spacing w:after="100" w:before="40"/>
        <w:jc w:val="center"/>
      </w:pPr>
      <m:oMath>
        <m:sSub>
          <m:e>
            <m:r>
              <w:rPr>
                <w:rFonts w:ascii="Cambria Math" w:hAnsi="Cambria Math"/>
                <w:sz w:val="23"/>
              </w:rPr>
              <m:rPr>
                <m:sty m:val="p"/>
              </m:rPr>
              <m:t xml:space="preserve">q</m:t>
            </m:r>
          </m:e>
          <m:sub>
            <m:r>
              <w:rPr>
                <w:rFonts w:ascii="Cambria Math" w:hAnsi="Cambria Math"/>
                <w:sz w:val="23"/>
              </w:rPr>
              <m:rPr>
                <m:sty m:val="p"/>
              </m:rPr>
              <m:t xml:space="preserve">cal</m:t>
            </m:r>
          </m:sub>
        </m:sSub>
        <m:r>
          <w:rPr>
            <w:rFonts w:ascii="Cambria Math" w:hAnsi="Cambria Math"/>
            <w:sz w:val="23"/>
          </w:rPr>
          <m:rPr>
            <m:sty m:val="p"/>
          </m:rPr>
          <m:t xml:space="preserve"> = q ⊙ exp(z)</m:t>
        </m:r>
      </m:oMath>
      <w:r>
        <w:rPr>
          <w:sz w:val="20"/>
        </w:rPr>
        <w:t xml:space="preserve">   (1)</w:t>
      </w:r>
    </w:p>
    <w:p>
      <w:r>
        <w:t>The symbol ⊙ denotes coordinatewise multiplication. The fitting function receives observed training states, actions, and q. No separate ground-truth coefficient field is passed to the fitting function. In biased-coefficient cases, its only coefficient input is the distorted vector q. The correction is global within a setting; test trajectories receive the same fitted correction without any further parameter estimation. The imposed constant coefficient bias can be represented exactly by this calibration family. The structural omissions cannot be added back by multiplying coefficients.</w:t>
      </w:r>
    </w:p>
    <w:p>
      <w:r>
        <w:t>Calibration uses SciPy nonlinear least squares [36] on normalized forecast residuals. Each training trajectory supplies two evenly spaced windows. Six fitted candidates combine rollout lengths of one and four steps with multiplier starts (1, 1, 1), (0.8, 1.2, 1), and (1.2, 0.8, 1). Each fit uses a three-point numerical Jacobian, a budget of 60 objective evaluations, and convergence tolerances of 10⁻⁸. Numerical Jacobian evaluations require additional residual calls, which are recorded. Fitting uses float64 arithmetic. Multipliers are constrained to 0.001–1000 to bound the numerical search and maintain positive coefficients.</w:t>
      </w:r>
    </w:p>
    <w:p>
      <w:r>
        <w:t>An initial diagnostic run reached a narrower lower bound in a structural case. The bounds were expanded before the full calibration run. The complete candidate records preserve this exploratory design choice, the starting points, boundary diagnostics, optimizer termination, and Jacobian information. The unchanged physical solver is included as a seventh candidate. Validation selects the candidate with the smallest mean normalized error over 16 recursively forecast steps on all 24 validation trajectories. Exact ties retain the earlier candidate, beginning with unchanged physics. Validation and final physical forecasts use float32 states with the original solver's internal coefficient arithmetic.</w:t>
      </w:r>
    </w:p>
    <w:p>
      <w:pPr>
        <w:pStyle w:val="Heading2"/>
      </w:pPr>
      <w:r>
        <w:t>2.3 Neural candidates and training</w:t>
      </w:r>
    </w:p>
    <w:p>
      <w:r>
        <w:t>Each neural model predicts the next state from four observed or recursively predicted states, four associated actions, and supplied coefficient information. The standard transformer [37] has three separate encoder blocks. The looped transformer applies one shared block three times. Both have width 64 and four attention heads. The Fourier neural operator has width 64, three layers, and eight retained Fourier modes. Each model predicts a state increment added to the final context state. The experiment contains these three neural architectures; a separate latent world-model architecture was outside its design.</w:t>
      </w:r>
    </w:p>
    <w:p>
      <w:r>
        <w:t>The parameter counts differ. One-channel systems use approximately 101,000 parameters for the standard transformer, 34,000 for the looped transformer, and 210,000 real scalar parameters for the Fourier model. Two-channel counts are similar; exact values appear in the release. Complex weights count as two real parameters. The study uses a shared update budget, so architectural comparisons describe the tested configurations and their measured costs.</w:t>
      </w:r>
    </w:p>
    <w:p>
      <w:r>
        <w:t>Every neural candidate completes 4,000 AdamW updates with learning rate 0.0003, weight decay 0.0001, batch size 32, and gradient-norm limit 1 [38]. Validation occurs every 100 updates using a 16-step recursive forecast. The lowest validation error within the budget selects the checkpoint used for the primary evaluation. Supplementary Section S2 gives the layers, normalization, sampling, seeds, and complete settings.</w:t>
      </w:r>
    </w:p>
    <w:p>
      <w:r>
        <w:t>State means and scales are fitted to training observations. Supplied coefficients are also standardized using their corresponding training values. A positive constant coefficient rescaling therefore cancels in the neural coefficient input when the scale floor is inactive, as it is here. The biased coefficients continue to affect the physical transition and its auxiliary targets. This construction preserves the neural model's coefficient information and creates a correctable physical-parameter error. Both the neural and calibrated physical options learn from the same underlying training trajectories.</w:t>
      </w:r>
    </w:p>
    <w:p>
      <w:pPr>
        <w:pStyle w:val="Heading2"/>
      </w:pPr>
      <w:r>
        <w:t>2.4 Physical supervision and perturbation controls</w:t>
      </w:r>
    </w:p>
    <w:p>
      <w:r>
        <w:t>The neural candidates include ordinary supervised training and several ways of adding physical supervision. For a state history H ending in u, a perturbation δ changes the history, and the physical operator labels the perturbed final state under the final action. Physical targets are precomputed and held fixed during optimization. The neural objective combines the observed-transition loss and the auxiliary physical-target loss:</w:t>
      </w:r>
    </w:p>
    <w:p>
      <w:pPr>
        <w:keepLines/>
        <w:spacing w:after="100" w:before="40"/>
        <w:jc w:val="center"/>
      </w:pPr>
      <m:oMath>
        <m:r>
          <w:rPr>
            <w:rFonts w:ascii="Cambria Math" w:hAnsi="Cambria Math"/>
            <w:sz w:val="23"/>
          </w:rPr>
          <m:rPr>
            <m:sty m:val="p"/>
          </m:rPr>
          <m:t xml:space="preserve">L = </m:t>
        </m:r>
        <m:sSub>
          <m:e>
            <m:r>
              <w:rPr>
                <w:rFonts w:ascii="Cambria Math" w:hAnsi="Cambria Math"/>
                <w:sz w:val="23"/>
              </w:rPr>
              <m:rPr>
                <m:sty m:val="p"/>
              </m:rPr>
              <m:t xml:space="preserve">L</m:t>
            </m:r>
          </m:e>
          <m:sub>
            <m:r>
              <w:rPr>
                <w:rFonts w:ascii="Cambria Math" w:hAnsi="Cambria Math"/>
                <w:sz w:val="23"/>
              </w:rPr>
              <m:rPr>
                <m:sty m:val="p"/>
              </m:rPr>
              <m:t xml:space="preserve">observed</m:t>
            </m:r>
          </m:sub>
        </m:sSub>
        <m:r>
          <w:rPr>
            <w:rFonts w:ascii="Cambria Math" w:hAnsi="Cambria Math"/>
            <w:sz w:val="23"/>
          </w:rPr>
          <m:rPr>
            <m:sty m:val="p"/>
          </m:rPr>
          <m:t xml:space="preserve"> + λ</m:t>
        </m:r>
        <m:sSub>
          <m:e>
            <m:r>
              <w:rPr>
                <w:rFonts w:ascii="Cambria Math" w:hAnsi="Cambria Math"/>
                <w:sz w:val="23"/>
              </w:rPr>
              <m:rPr>
                <m:sty m:val="p"/>
              </m:rPr>
              <m:t xml:space="preserve">L</m:t>
            </m:r>
          </m:e>
          <m:sub>
            <m:r>
              <w:rPr>
                <w:rFonts w:ascii="Cambria Math" w:hAnsi="Cambria Math"/>
                <w:sz w:val="23"/>
              </w:rPr>
              <m:rPr>
                <m:sty m:val="p"/>
              </m:rPr>
              <m:t xml:space="preserve">physical</m:t>
            </m:r>
          </m:sub>
        </m:sSub>
      </m:oMath>
      <w:r>
        <w:rPr>
          <w:sz w:val="20"/>
        </w:rPr>
        <w:t xml:space="preserve">   (2)</w:t>
      </w:r>
    </w:p>
    <w:p>
      <w:r>
        <w:t>Both losses average squared errors in training-normalized state coordinates. The physical-loss weight λ is 0.1 for augmented candidates and zero for ordinary supervised training. An augmentation bank contains 4,096 sampled training windows; each update draws 32 auxiliary windows. The comparison with ordinary training includes both the perturbation and the added supervision. An additional unperturbed physical-target arm would be needed to isolate the contribution of perturbation itself.</w:t>
      </w:r>
    </w:p>
    <w:p>
      <w:r>
        <w:t>Independent Gaussian perturbations are scaled by 0.05 times the state scale. Smooth perturbations retain spatial Fourier modes 1–3 and are rescaled to match each paired independent perturbation's input root-mean-square magnitude within each history position and channel. The response-matched arm instead changes the independent perturbation's amplitude until the physical operator's normalized next-state change matches the scalar response to the smooth perturbation. The control uses the actual coarse operator, including its supplied physical error.</w:t>
      </w:r>
    </w:p>
    <w:p>
      <w:r>
        <w:t>Response matching controls one scalar magnitude. It changes the independent perturbation's input amplitude and leaves the physical response direction, spatial covariance, and target error uncontrolled. Perturbations are independently sampled at different history positions, so the perturbed history can differ from a dynamically integrated trajectory. These properties define the interpretation of the augmentation comparisons. The newly calibrated physical solver is used for standalone forecasting; it does not relabel the archived augmentation banks.</w:t>
      </w:r>
    </w:p>
    <w:p>
      <w:pPr>
        <w:pStyle w:val="Heading2"/>
      </w:pPr>
      <w:r>
        <w:t>2.5 Choosing a forecasting model with validation data</w:t>
      </w:r>
    </w:p>
    <w:p>
      <w:r>
        <w:t>The direct model-choice rule compares completed candidates. Within each equation, prior, and archived training seed, it first identifies the neural architecture and augmentation arm with the smallest saved validation error. That checkpoint's validation horizon is the same 16 steps used to select physical calibration. The rule then compares this neural validation score with unchanged and calibrated physics. Ties favor unchanged physics, then calibrated physics, then the neural candidate. Neural ties use a deterministic architecture and arm order.</w:t>
      </w:r>
    </w:p>
    <w:p>
      <w:r>
        <w:t>All calibration files and all model-choice decisions are written to a hashed manifest before test trajectories or archived neural test scores are opened by the extension. The rule makes 156 seed-specific decisions across the 30 settings. The physical fit and training data are reused across seeds; the 156 choices are therefore repeated candidate comparisons within the stated settings. This rule uses no test error to choose a model.</w:t>
      </w:r>
    </w:p>
    <w:p>
      <w:r>
        <w:t>A fresh application of this procedure would pay for fitting and validating its candidate neural models. Selection uses validation error alone. Execution cost is reported separately. The present analysis reuses those completed fits. Its short new runtime measures the extra cost of calibration and analysis. It leaves the historical cost of acquiring the neural candidates in a separate account.</w:t>
      </w:r>
    </w:p>
    <w:p>
      <w:pPr>
        <w:pStyle w:val="Heading2"/>
      </w:pPr>
      <w:r>
        <w:t>2.6 Transferring an augmentation rule from short probes</w:t>
      </w:r>
    </w:p>
    <w:p>
      <w:r>
        <w:t>The earlier guarded rule makes a different decision: it chooses an augmentation procedure for a fixed neural architecture after a short target training run. Ridge regression predicts the final validation log-loss ratio of each augmented arm relative to ordinary supervised training. Its features describe training transitions, the physical operator's discrepancy and response, state spectra, architecture, augmentation arm, and the observed validation ratio after 300 training updates. Equation identity, true coefficients, prior labels, and test errors are excluded from its predictor inputs.</w:t>
      </w:r>
    </w:p>
    <w:p>
      <w:r>
        <w:t>The 864-fit development experiment supplies training labels. The rule is fitted to all six development equations and to six additional subsets that each omit one equation. For an augmented candidate, the guard takes the largest predicted log ratio across these fits. The candidate is eligible when that value is below zero and its target probe error is below the unaugmented probe error. The lowest eligible prediction determines the arm. If no augmented candidate qualifies, the rule selects ordinary supervised training. Development evaluation selects a ridge penalty of 1.</w:t>
      </w:r>
    </w:p>
    <w:p>
      <w:r>
        <w:t>This rule is frozen before candidate continuation and test evaluation on Cahn–Hilliard and FitzHugh–Nagumo. Architecture, prior, and seed define 108 target tasks. Every candidate is eventually continued to 4,000 updates to measure the outcomes of the available choices. The primary baselines are ordinary supervised training and choosing the best short validation probe. Supplementary Section S3 gives the feature construction, development folds, and additional comparison rules.</w:t>
      </w:r>
    </w:p>
    <w:p>
      <w:pPr>
        <w:pStyle w:val="Heading2"/>
      </w:pPr>
      <w:r>
        <w:t>2.7 Forecast errors and statistical comparisons</w:t>
      </w:r>
    </w:p>
    <w:p>
      <w:r>
        <w:t>For trajectory j, forecast step h, channel c, and spatial cell i, the normalized step error is</w:t>
      </w:r>
    </w:p>
    <w:p>
      <w:pPr>
        <w:keepLines/>
        <w:spacing w:after="100" w:before="40"/>
        <w:jc w:val="center"/>
      </w:pPr>
      <m:oMath>
        <m:sSub>
          <m:e>
            <m:r>
              <w:rPr>
                <w:rFonts w:ascii="Cambria Math" w:hAnsi="Cambria Math"/>
                <w:sz w:val="23"/>
              </w:rPr>
              <m:rPr>
                <m:sty m:val="p"/>
              </m:rPr>
              <m:t xml:space="preserve">e</m:t>
            </m:r>
          </m:e>
          <m:sub>
            <m:r>
              <w:rPr>
                <w:rFonts w:ascii="Cambria Math" w:hAnsi="Cambria Math"/>
                <w:sz w:val="23"/>
              </w:rPr>
              <m:rPr>
                <m:sty m:val="p"/>
              </m:rPr>
              <m:t xml:space="preserve">jh</m:t>
            </m:r>
          </m:sub>
        </m:sSub>
        <m:r>
          <w:rPr>
            <w:rFonts w:ascii="Cambria Math" w:hAnsi="Cambria Math"/>
            <w:sz w:val="23"/>
          </w:rPr>
          <m:rPr>
            <m:sty m:val="p"/>
          </m:rPr>
          <m:t xml:space="preserve"> = </m:t>
        </m:r>
        <m:f>
          <m:num>
            <m:r>
              <w:rPr>
                <w:rFonts w:ascii="Cambria Math" w:hAnsi="Cambria Math"/>
                <w:sz w:val="23"/>
              </w:rPr>
              <m:rPr>
                <m:sty m:val="p"/>
              </m:rPr>
              <m:t xml:space="preserve">1</m:t>
            </m:r>
          </m:num>
          <m:den>
            <m:r>
              <w:rPr>
                <w:rFonts w:ascii="Cambria Math" w:hAnsi="Cambria Math"/>
                <w:sz w:val="23"/>
              </w:rPr>
              <m:rPr>
                <m:sty m:val="p"/>
              </m:rPr>
              <m:t xml:space="preserve">CN</m:t>
            </m:r>
          </m:den>
        </m:f>
        <m:nary>
          <m:naryPr>
            <m:chr m:val="∑"/>
            <m:limLoc m:val="subSup"/>
          </m:naryPr>
          <m:sub>
            <m:r>
              <w:rPr>
                <w:rFonts w:ascii="Cambria Math" w:hAnsi="Cambria Math"/>
                <w:sz w:val="23"/>
              </w:rPr>
              <m:rPr>
                <m:sty m:val="p"/>
              </m:rPr>
              <m:t xml:space="preserve">c = 1</m:t>
            </m:r>
          </m:sub>
          <m:sup>
            <m:r>
              <w:rPr>
                <w:rFonts w:ascii="Cambria Math" w:hAnsi="Cambria Math"/>
                <w:sz w:val="23"/>
              </w:rPr>
              <m:rPr>
                <m:sty m:val="p"/>
              </m:rPr>
              <m:t xml:space="preserve">C</m:t>
            </m:r>
          </m:sup>
          <m:e>
            <m:nary>
              <m:naryPr>
                <m:chr m:val="∑"/>
                <m:limLoc m:val="subSup"/>
              </m:naryPr>
              <m:sub>
                <m:r>
                  <w:rPr>
                    <w:rFonts w:ascii="Cambria Math" w:hAnsi="Cambria Math"/>
                    <w:sz w:val="23"/>
                  </w:rPr>
                  <m:rPr>
                    <m:sty m:val="p"/>
                  </m:rPr>
                  <m:t xml:space="preserve">i = 1</m:t>
                </m:r>
              </m:sub>
              <m:sup>
                <m:r>
                  <w:rPr>
                    <w:rFonts w:ascii="Cambria Math" w:hAnsi="Cambria Math"/>
                    <w:sz w:val="23"/>
                  </w:rPr>
                  <m:rPr>
                    <m:sty m:val="p"/>
                  </m:rPr>
                  <m:t xml:space="preserve">N</m:t>
                </m:r>
              </m:sup>
              <m:e>
                <m:sSup>
                  <m:e>
                    <m:r>
                      <w:rPr>
                        <w:rFonts w:ascii="Cambria Math" w:hAnsi="Cambria Math"/>
                        <w:sz w:val="23"/>
                      </w:rPr>
                      <m:rPr>
                        <m:sty m:val="p"/>
                      </m:rPr>
                      <m:t xml:space="preserve">[</m:t>
                    </m:r>
                    <m:f>
                      <m:num>
                        <m:sSub>
                          <m:e>
                            <m:acc>
                              <m:accPr>
                                <m:chr m:val="̂"/>
                              </m:accPr>
                              <m:e>
                                <m:r>
                                  <w:rPr>
                                    <w:rFonts w:ascii="Cambria Math" w:hAnsi="Cambria Math"/>
                                    <w:sz w:val="23"/>
                                  </w:rPr>
                                  <m:rPr>
                                    <m:sty m:val="p"/>
                                  </m:rPr>
                                  <m:t xml:space="preserve">u</m:t>
                                </m:r>
                              </m:e>
                            </m:acc>
                          </m:e>
                          <m:sub>
                            <m:r>
                              <w:rPr>
                                <w:rFonts w:ascii="Cambria Math" w:hAnsi="Cambria Math"/>
                                <w:sz w:val="23"/>
                              </w:rPr>
                              <m:rPr>
                                <m:sty m:val="p"/>
                              </m:rPr>
                              <m:t xml:space="preserve">jhci</m:t>
                            </m:r>
                          </m:sub>
                        </m:sSub>
                        <m:r>
                          <w:rPr>
                            <w:rFonts w:ascii="Cambria Math" w:hAnsi="Cambria Math"/>
                            <w:sz w:val="23"/>
                          </w:rPr>
                          <m:rPr>
                            <m:sty m:val="p"/>
                          </m:rPr>
                          <m:t xml:space="preserve"> − </m:t>
                        </m:r>
                        <m:sSub>
                          <m:e>
                            <m:r>
                              <w:rPr>
                                <w:rFonts w:ascii="Cambria Math" w:hAnsi="Cambria Math"/>
                                <w:sz w:val="23"/>
                              </w:rPr>
                              <m:rPr>
                                <m:sty m:val="p"/>
                              </m:rPr>
                              <m:t xml:space="preserve">u</m:t>
                            </m:r>
                          </m:e>
                          <m:sub>
                            <m:r>
                              <w:rPr>
                                <w:rFonts w:ascii="Cambria Math" w:hAnsi="Cambria Math"/>
                                <w:sz w:val="23"/>
                              </w:rPr>
                              <m:rPr>
                                <m:sty m:val="p"/>
                              </m:rPr>
                              <m:t xml:space="preserve">jhci</m:t>
                            </m:r>
                          </m:sub>
                        </m:sSub>
                      </m:num>
                      <m:den>
                        <m:sSub>
                          <m:e>
                            <m:r>
                              <w:rPr>
                                <w:rFonts w:ascii="Cambria Math" w:hAnsi="Cambria Math"/>
                                <w:sz w:val="23"/>
                              </w:rPr>
                              <m:rPr>
                                <m:sty m:val="p"/>
                              </m:rPr>
                              <m:t xml:space="preserve">s</m:t>
                            </m:r>
                          </m:e>
                          <m:sub>
                            <m:r>
                              <w:rPr>
                                <w:rFonts w:ascii="Cambria Math" w:hAnsi="Cambria Math"/>
                                <w:sz w:val="23"/>
                              </w:rPr>
                              <m:rPr>
                                <m:sty m:val="p"/>
                              </m:rPr>
                              <m:t xml:space="preserve">c</m:t>
                            </m:r>
                          </m:sub>
                        </m:sSub>
                      </m:den>
                    </m:f>
                    <m:r>
                      <w:rPr>
                        <w:rFonts w:ascii="Cambria Math" w:hAnsi="Cambria Math"/>
                        <w:sz w:val="23"/>
                      </w:rPr>
                      <m:rPr>
                        <m:sty m:val="p"/>
                      </m:rPr>
                      <m:t xml:space="preserve">]</m:t>
                    </m:r>
                  </m:e>
                  <m:sup>
                    <m:r>
                      <w:rPr>
                        <w:rFonts w:ascii="Cambria Math" w:hAnsi="Cambria Math"/>
                        <w:sz w:val="23"/>
                      </w:rPr>
                      <m:rPr>
                        <m:sty m:val="p"/>
                      </m:rPr>
                      <m:t xml:space="preserve">2</m:t>
                    </m:r>
                  </m:sup>
                </m:sSup>
              </m:e>
            </m:nary>
          </m:e>
        </m:nary>
      </m:oMath>
      <w:r>
        <w:rPr>
          <w:sz w:val="20"/>
        </w:rPr>
        <w:t xml:space="preserve">   (3)</w:t>
      </w:r>
    </w:p>
    <w:p>
      <w:r>
        <w:t xml:space="preserve">The reference state is u, the forecast is û, the training standard deviation of channel c is </w:t>
      </w:r>
      <w:r>
        <w:t>s</w:t>
      </w:r>
      <w:r>
        <w:rPr>
          <w:vertAlign w:val="subscript"/>
        </w:rPr>
        <w:t>c</w:t>
      </w:r>
      <w:r>
        <w:t>, and the channel and grid counts are C and N. Step errors are averaged over the first 64 forecast steps for the primary outcome and over 96 steps for the secondary outcome. The two test distributions are reported separately. Errors remain grouped by equation, stage, and physical-information setting. The paper does not pool absolute errors across different equations into a single overall model score.</w:t>
      </w:r>
    </w:p>
    <w:p>
      <w:r>
        <w:t>The calibration extension reports arithmetic mean errors and paired differences between calibrated physics, unchanged physics, the validation-selected neural candidate, and the validation-selected forecasting route. Its 5,000-replicate percentile bootstrap resamples complete shared test trajectories and, for neural comparisons, archived training seeds. The fitted physical correction and generated training data remain fixed. The intervals are exploratory, pointwise 95% intervals, with no multiplicity adjustment or overall hypothesis decision. They omit uncertainty from a fresh calibration training dataset.</w:t>
      </w:r>
    </w:p>
    <w:p>
      <w:r>
        <w:t>The original augmentation analyses use their archived estimators. Candidate-to-baseline error ratios are formed within paired equation, architecture, prior, and seed configurations. Log ratios are averaged over the specified fixed strata and exponentiated. The pooled guarded-selector analysis gives equal weight to each equation. Percentage reduction is 100 times one minus this geometric mean ratio. This quantity differs from a ratio of errors pooled across all equations.</w:t>
      </w:r>
    </w:p>
    <w:p>
      <w:r>
        <w:t>Development augmentation contrasts use 50,000 paired bootstrap replicates and Bonferroni-adjusted intervals across 24 comparisons. The follow-up uses 20,000 paired replicates, pointwise 95% intervals, and centered bootstrap p-values with Holm correction [39] across six primary 64-cell resolution contrasts and, separately, two guarded-selector contrasts. Secondary horizons and architecture breakdowns are descriptive. The manuscript interprets effect estimates and intervals without imposing a minimum percentage improvement or a required number of successful equations. Legacy development status labels remain in the archive and are excluded from these interpretations.</w:t>
      </w:r>
    </w:p>
    <w:p>
      <w:r>
        <w:t>Protective scoring retains failed trajectories. Development caps each trajectory's mean error at 10⁶. Later stages cap per-step errors before averaging. Primary neural errors and all newly evaluated physical errors are finite and below the cap. Some unselected neural candidates exceed it after step 64; these cases and the stage-specific rules are documented in Supplementary Section S4. Numerical integrity checks and scientific effect estimates are reported separately.</w:t>
      </w:r>
    </w:p>
    <w:p>
      <w:pPr>
        <w:pStyle w:val="Heading2"/>
      </w:pPr>
      <w:r>
        <w:t>2.8 Numerical identity, timing, and reproducibility</w:t>
      </w:r>
    </w:p>
    <w:p>
      <w:r>
        <w:t>The nonlinear spectral systems use the implemented Cox–Matthews exponential time-differencing scheme [40]. Small-argument Taylor expansions address the coefficient-evaluation concern described by Kassam and Trefethen [41]. Reference trajectories use float64 calculations and are stored in float32. Existing temporal and spatial checks describe the sampled finite-grid problem. Supplementary Section S1 gives their scope. The numerical solver family also generates the observations, which favors an adequate physical model in this controlled setting.</w:t>
      </w:r>
    </w:p>
    <w:p>
      <w:r>
        <w:t>The original neural experiments ran on an NVIDIA RTX 3090 Ti with Python 3.12, NumPy 2.1, PyTorch 2.8, CUDA 12.8, and eight CPU threads. The calibration extension uses CPU PyTorch 2.8, NumPy 2.3, and four fitting processes with one thread each. Data regeneration temporarily restores eight Torch CPU threads because FFT rounding depends on that setting. All 28 regenerated development and test dataset files exactly match the archived hashes. Ordered trajectory identifiers, normalization, source files, frozen choices, and evaluation hashes are also verified.</w:t>
      </w:r>
    </w:p>
    <w:p>
      <w:r>
        <w:t>A further check compares newly computed physical and persistence errors with archived reference errors. Three settings have CPU/GPU physical-reference differences beyond the preset numerical replay tolerance. Their exact input-data hashes establish common evaluation targets, and the discrepancies remain in the record. An independently written NumPy implementation agrees with the Torch float64 solver in 96 short-run checks across equations, grids, priors, and fidelity levels. These are implementation checks on the specified numerical models.</w:t>
      </w:r>
    </w:p>
    <w:p>
      <w:r>
        <w:t>Fresh forward timing uses resident float32 inputs on the same CPU, five warmup calls per method, and five randomly interleaved blocks of 20 calls. The physical benchmark includes applying the fitted correction. Neural timing includes normalization and every model layer. Input transfer, history updates, fitting, and error calculation are excluded. The archive contains trained-model errors and metadata, with trained checkpoints excluded. Fresh neural timing therefore uses initialized copies of the archived architectures. It measures their execution graphs on the current machine; historical trained-model accuracy remains a separate measurement.</w:t>
      </w:r>
    </w:p>
    <w:p>
      <w:r>
        <w:t>Current calibration and execution times are separated from historical neural training times. The older guarded-selector route costs reconstruct startup, probes, augmentation-bank work, and continuation from measured components. Their scope excludes common evaluation and acquisition of the earlier development bank. No matched-hardware claim is made between new CPU calibration cost and historical GPU training cost. The importance of explicit numerical baselines and computational accounting is established in prior analyses of learned simulation [42, 3].</w:t>
      </w:r>
    </w:p>
    <w:p>
      <w:r>
        <w:t>OpenAI ChatGPT and Codex assisted with code preparation, analysis summaries, figure code, and manuscript preparation under the author's direction. Numerical solvers generated the physical observations, and Matplotlib generated data figures from retained arrays. Exact service model identifiers used during development were not recorded. The author is responsible for reviewing the code, calculations, interpretation, and final manuscript.</w:t>
      </w:r>
    </w:p>
    <w:sectPr w:rsidR="00FC693F" w:rsidRPr="0006063C" w:rsidSect="00034616">
      <w:headerReference w:type="default" r:id="rId9"/>
      <w:footerReference w:type="default" r:id="rId10"/>
      <w:pgSz w:w="12240" w:h="15840"/>
      <w:pgMar w:top="1123"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Section review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Times New Roman" w:hAnsi="Times New Roman" w:eastAsia="Times New Roman" w:cs="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val="1"/>
      <w:color w:val="000000"/>
      <w:sz w:val="26"/>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val="1"/>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val="1"/>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eastAsia="Times New Roman" w:cs="Times New Roman"/>
      <w:b w:val="0"/>
      <w:color w:val="000000"/>
      <w:spacing w:val="5"/>
      <w:kern w:val="28"/>
      <w:sz w:val="3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60"/>
    </w:pPr>
    <w:rPr>
      <w:rFonts w:ascii="Times New Roman" w:hAnsi="Times New Roman" w:eastAsia="Times New Roman" w:cs="Times New Roman"/>
      <w:b w:val="0"/>
      <w:bCs w:val="0"/>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between physical and neural forecasters with imperfect equations</dc:title>
  <dc:subject>Journal of Computational Science manuscript draft</dc:subject>
  <dc:creator>Michael Doane</dc:creator>
  <cp:keywords/>
  <dc:description>generated by python-docx</dc:description>
  <cp:lastModifiedBy/>
  <cp:revision>1</cp:revision>
  <dcterms:created xsi:type="dcterms:W3CDTF">2013-12-23T23:15:00Z</dcterms:created>
  <dcterms:modified xsi:type="dcterms:W3CDTF">2013-12-23T23:15:00Z</dcterms:modified>
  <cp:category/>
</cp:coreProperties>
</file>