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 and conclusions</w:t>
      </w:r>
    </w:p>
    <w:p>
      <w:pPr>
        <w:pStyle w:val="Heading1"/>
      </w:pPr>
      <w:r>
        <w:t>4 Discussion</w:t>
      </w:r>
    </w:p>
    <w:p>
      <w:r>
        <w:t>The broader comparison changes how the earlier neural results should be read. A neural model can outperform a solver with biased coefficients even when the available equations describe the system adequately. In these experiments, a small calibration using the observed training trajectories removes that advantage. Including fitted physical coefficients is therefore necessary to assess the value of learning a replacement transition in this setting. The uncalibrated comparison describes the consequences of using the supplied coefficients without identification.</w:t>
      </w:r>
    </w:p>
    <w:p>
      <w:r>
        <w:t>The omitted-term cases show why calibration and equation adequacy need separate treatment. Cahn–Hilliard retains its original coefficients because the fitted alternatives fail to improve validation forecasts. FitzHugh–Nagumo achieves a modest forecasting improvement through coefficient changes and still has much larger errors than the neural model. The learned correction factors in that case can compensate for some observed behavior without acquiring the missing mathematical term. They should be interpreted as predictive adjustments to the imperfect model. Simulator-calibration work has long described this difficulty in assigning physical meaning to fitted parameters under discrepancy [2].</w:t>
      </w:r>
    </w:p>
    <w:p>
      <w:r>
        <w:t>For a practitioner, the relevant sequence begins with the information already available. If equations and observed trajectories are available, fitting a small set of uncertain coefficients can be inexpensive enough to include routinely. Validation rollouts then compare the fitted solver with candidate learned forecasts over an operationally meaningful horizon. Execution cost determines whether an accurate candidate is usable at the required frequency. The present measurements illustrate this process for fully observed controlled systems. Applications with hidden states would also need a state-estimation procedure, and observational error would change the fitting objective and its uncertainty.</w:t>
      </w:r>
    </w:p>
    <w:p>
      <w:r>
        <w:t>The validation rule succeeds here because the forecast differences between the physical and neural classes are large. The saved validation scores and choices show how each decision was made. A universal selection rule would require broader variation in equation error, observation quality, training coverage, and computational constraints. The current study tests one fixed joint coefficient shift and two particular omissions. The repeated grids and seeds improve understanding of those settings; they do not create additional independent examples of physical mechanisms.</w:t>
      </w:r>
    </w:p>
    <w:p>
      <w:r>
        <w:t>The neural architecture result also has a clear scope. Fourier neural operators are well suited to representations of periodic spatial fields, and they lead the tested validation comparisons. The standard and looped transformers use their stated widths, depths, and training budgets, with smaller parameter counts than the Fourier models. The study compares these implemented candidates. It leaves open the effects of larger training corpora, longer contexts, alternative transformer tokenizations, adaptive recurrence, and matched-capacity tuning. A claim about world models in general would extend beyond the architectures and observations evaluated here.</w:t>
      </w:r>
    </w:p>
    <w:p>
      <w:r>
        <w:t>Physical supervision remains useful within that restricted portfolio. The wave and transport harms under biased coefficients show how an inaccurate auxiliary target can damage neural forecasts. The Allen–Cahn benefit shows that the same coefficient distortion can still produce useful supervision in another system. Calibrated physics gives these results an absolute-accuracy context: an augmentation gain can coexist with a much more accurate standalone solver. Choosing an augmented neural candidate therefore requires comparison with both ordinary neural training and an appropriately fitted physical baseline.</w:t>
      </w:r>
    </w:p>
    <w:p>
      <w:r>
        <w:t>The response-matching experiment addresses a specific ambiguity about those auxiliary examples. Equal input amplitudes can generate different physical response amplitudes, and matching the latter reduces the apparent smoothness advantage in waves. A remaining advantage persists in waves and Burgers. Response direction, perturbed-history consistency, and physical-target error remain possible contributors. The experiment measures their combined influence after one scalar control. Claims about a unique causal explanation would require controls that isolate those quantities.</w:t>
      </w:r>
    </w:p>
    <w:p>
      <w:r>
        <w:t>Several favorable properties of the data explain the very small calibrated errors. Observations are noiseless, states and actions are fully available, the generating equation belongs to the solver family, and the coefficient distortion is constant across trajectories. Three shared multipliers can undo it. The near-zero errors in many cases are expected after successful identification and provide a useful baseline check. They give limited evidence about calibration under changing parameters, unknown forcing, stochastic dynamics, or incomplete measurements. The larger residual error in Kuramoto–Sivashinsky can include numerical approximation and imperfect coefficient fitting.</w:t>
      </w:r>
    </w:p>
    <w:p>
      <w:r>
        <w:t>The uncertainty estimates have corresponding limits. Each setting has one generated training and validation dataset. The new bootstrap conditions on the fitted correction, and the older bootstrap conditions on its learned augmentation rule. The same test trajectories are reused for paired comparisons. The intervals measure variation across those trajectories and the archived neural training seeds. They leave training-data uncertainty and transfer to new equations unresolved. The calibration extension was designed after examining previous test results, so its findings should retain their exploratory status.</w:t>
      </w:r>
    </w:p>
    <w:p>
      <w:r>
        <w:t>Computational claims require equal care. Current CPU stepping favors the existing physical implementations, and calibration requires little additional time. Historical neural training was performed on a different machine. Fresh neural timing uses initialized models because the original weight files were omitted from the archive. Timing exact trained checkpoints, optimizing the solver, and comparing full forecasting throughput on the intended deployment hardware would answer more specific engineering questions. The present separation of fitting, historical training, and forward execution costs makes those remaining questions visible.</w:t>
      </w:r>
    </w:p>
    <w:p>
      <w:r>
        <w:t>Physical models can generate auxiliary examples, supply direct forecasts, or provide a fitted alternative that changes whether a neural model is needed. The appropriate use depends on which parts of the dynamics are represented, what can be learned from the available observations, and the errors measured on validation trajectories. The completed comparisons provide evidence for making that decision in the tested systems without another neural training campaign.</w:t>
      </w:r>
    </w:p>
    <w:p>
      <w:pPr>
        <w:pStyle w:val="Heading1"/>
      </w:pPr>
      <w:r>
        <w:t>5 Conclusions</w:t>
      </w:r>
    </w:p>
    <w:p>
      <w:r>
        <w:t>At the primary 64-step test horizon, coefficient calibration reverses the neural advantage over biased physical solvers across the eight tested physical families. Calibrated or unchanged physics is selected whenever the available equations are complete, and neural forecasting is selected in both omitted-term settings. Those class-level choices remain favorable under a longer horizon and the specified coefficient shift. Calibration is inexpensive, and physical stepping is faster in the matched CPU implementation benchmark.</w:t>
      </w:r>
    </w:p>
    <w:p>
      <w:r>
        <w:t>The original augmentation experiments add detail about the neural alternatives. Physical supervision can improve their forecasts, cause substantial harm, and produce different effects across architectures. The transferred short-probe augmentation rule has limited gains compared with ordinary supervised training. The combined evidence supports comparing an identified physical model with validated neural candidates and reporting the cost of acquiring and executing each option. The conclusions concern fully observed, noiseless numerical systems and motivate further tests under less favorable observational and modeling conditions.</w:t>
      </w:r>
    </w:p>
    <w:sectPr w:rsidR="00FC693F" w:rsidRPr="0006063C" w:rsidSect="00034616">
      <w:headerReference w:type="default" r:id="rId9"/>
      <w:footerReference w:type="default" r:id="rId10"/>
      <w:pgSz w:w="12240" w:h="15840"/>
      <w:pgMar w:top="1123"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Section review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Times New Roman" w:hAnsi="Times New Roman" w:eastAsia="Times New Roman" w:cs="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val="1"/>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val="1"/>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eastAsia="Times New Roman" w:cs="Times New Roman"/>
      <w:b/>
      <w:bCs w:val="1"/>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eastAsia="Times New Roman" w:cs="Times New Roman"/>
      <w:b w:val="0"/>
      <w:color w:val="000000"/>
      <w:spacing w:val="5"/>
      <w:kern w:val="28"/>
      <w:sz w:val="3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60"/>
    </w:pPr>
    <w:rPr>
      <w:rFonts w:ascii="Times New Roman" w:hAnsi="Times New Roman" w:eastAsia="Times New Roman" w:cs="Times New Roman"/>
      <w:b w:val="0"/>
      <w:bCs w:val="0"/>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physical and neural forecasters with imperfect equations</dc:title>
  <dc:subject>Journal of Computational Science manuscript draft</dc:subject>
  <dc:creator>Michael Doane</dc:creator>
  <cp:keywords/>
  <dc:description>generated by python-docx</dc:description>
  <cp:lastModifiedBy/>
  <cp:revision>1</cp:revision>
  <dcterms:created xsi:type="dcterms:W3CDTF">2013-12-23T23:15:00Z</dcterms:created>
  <dcterms:modified xsi:type="dcterms:W3CDTF">2013-12-23T23:15:00Z</dcterms:modified>
  <cp:category/>
</cp:coreProperties>
</file>