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for Choosing between physical and neural forecasters with imperfect equations</w:t>
      </w:r>
    </w:p>
    <w:p>
      <w:r>
        <w:t>Michael Doane</w:t>
      </w:r>
    </w:p>
    <w:p>
      <w:r>
        <w:t>Independent Researcher, Cary, NC, United States</w:t>
      </w:r>
    </w:p>
    <w:p>
      <w:pPr>
        <w:pStyle w:val="Heading1"/>
      </w:pPr>
      <w:r>
        <w:t>S1 Physical systems and numerical observations</w:t>
      </w:r>
    </w:p>
    <w:p>
      <w:r>
        <w:t xml:space="preserve">The systems are dimensionless and use periodic grids with N equally spaced points on a domain of length L. The duplicated endpoint is omitted. In the equations below, </w:t>
      </w:r>
      <w:r>
        <w:t>θ</w:t>
      </w:r>
      <w:r>
        <w:rPr>
          <w:vertAlign w:val="subscript"/>
        </w:rPr>
        <w:t>x</w:t>
      </w:r>
      <w:r>
        <w:t xml:space="preserve"> = 2πx/L and A(t) is a known scalar forcing action. A trajectory's coefficient vector is sampled once and remains fixed. Its three coordinates are drawn independently from uniform ranges of 0.85–1.15 times the centers in Table S1. The coefficient-shift evaluation uses 1.30–1.50 times each center, with every coordinate moving to its shifted range in the same trajectory.</w:t>
      </w:r>
    </w:p>
    <w:p>
      <w:r>
        <w:t>A subscript t or x denotes a partial derivative; repeated x subscripts denote repeated spatial differentiation. The following expressions describe the continuous terms represented by the finite-grid implementation. The discretization of nonlinear products is specified after the equations.</w:t>
      </w:r>
    </w:p>
    <w:p>
      <w:pPr>
        <w:pStyle w:val="Heading2"/>
      </w:pPr>
      <w:r>
        <w:t>S1.1 Damped and driven waves</w:t>
      </w:r>
    </w:p>
    <w:p>
      <w:r>
        <w:t>The state contains displacement u and velocity v. The parameters are wave speed c, damping γ, and foundation stiffness κ.</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v,     </m:t>
        </m:r>
        <m:sSub>
          <m:e>
            <m:r>
              <w:rPr>
                <w:rFonts w:ascii="Cambria Math" w:hAnsi="Cambria Math"/>
                <w:sz w:val="23"/>
              </w:rPr>
              <m:rPr>
                <m:sty m:val="p"/>
              </m:rPr>
              <m:t xml:space="preserve">v</m:t>
            </m:r>
          </m:e>
          <m:sub>
            <m:r>
              <w:rPr>
                <w:rFonts w:ascii="Cambria Math" w:hAnsi="Cambria Math"/>
                <w:sz w:val="23"/>
              </w:rPr>
              <m:rPr>
                <m:sty m:val="p"/>
              </m:rPr>
              <m:t xml:space="preserve">t</m:t>
            </m:r>
          </m:sub>
        </m:sSub>
        <m:r>
          <w:rPr>
            <w:rFonts w:ascii="Cambria Math" w:hAnsi="Cambria Math"/>
            <w:sz w:val="23"/>
          </w:rPr>
          <m:rPr>
            <m:sty m:val="p"/>
          </m:rPr>
          <m:t xml:space="preserve"> = </m:t>
        </m:r>
        <m:sSup>
          <m:e>
            <m:r>
              <w:rPr>
                <w:rFonts w:ascii="Cambria Math" w:hAnsi="Cambria Math"/>
                <w:sz w:val="23"/>
              </w:rPr>
              <m:rPr>
                <m:sty m:val="p"/>
              </m:rPr>
              <m:t xml:space="preserve">c</m:t>
            </m:r>
          </m:e>
          <m:sup>
            <m:r>
              <w:rPr>
                <w:rFonts w:ascii="Cambria Math" w:hAnsi="Cambria Math"/>
                <w:sz w:val="23"/>
              </w:rPr>
              <m:rPr>
                <m:sty m:val="p"/>
              </m:rPr>
              <m:t xml:space="preserve">2</m:t>
            </m:r>
          </m:sup>
        </m:sSup>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γv − κu + 0.5A(t) sin </m:t>
        </m:r>
        <m:sSub>
          <m:e>
            <m:r>
              <w:rPr>
                <w:rFonts w:ascii="Cambria Math" w:hAnsi="Cambria Math"/>
                <w:sz w:val="23"/>
              </w:rPr>
              <m:rPr>
                <m:sty m:val="p"/>
              </m:rPr>
              <m:t xml:space="preserve">θ</m:t>
            </m:r>
          </m:e>
          <m:sub>
            <m:r>
              <w:rPr>
                <w:rFonts w:ascii="Cambria Math" w:hAnsi="Cambria Math"/>
                <w:sz w:val="23"/>
              </w:rPr>
              <m:rPr>
                <m:sty m:val="p"/>
              </m:rPr>
              <m:t xml:space="preserve">x</m:t>
            </m:r>
          </m:sub>
        </m:sSub>
      </m:oMath>
      <w:r>
        <w:rPr>
          <w:sz w:val="20"/>
        </w:rPr>
        <w:t xml:space="preserve">   (S1)</w:t>
      </w:r>
    </w:p>
    <w:p>
      <w:pPr>
        <w:pStyle w:val="Heading2"/>
      </w:pPr>
      <w:r>
        <w:t>S1.2 Viscous Burgers dynamics</w:t>
      </w:r>
    </w:p>
    <w:p>
      <w:r>
        <w:t>The scalar state u has viscosity ν, transport coefficient α, and linear drag δ.</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ν</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αu</m:t>
        </m:r>
        <m:sSub>
          <m:e>
            <m:r>
              <w:rPr>
                <w:rFonts w:ascii="Cambria Math" w:hAnsi="Cambria Math"/>
                <w:sz w:val="23"/>
              </w:rPr>
              <m:rPr>
                <m:sty m:val="p"/>
              </m:rPr>
              <m:t xml:space="preserve">u</m:t>
            </m:r>
          </m:e>
          <m:sub>
            <m:r>
              <w:rPr>
                <w:rFonts w:ascii="Cambria Math" w:hAnsi="Cambria Math"/>
                <w:sz w:val="23"/>
              </w:rPr>
              <m:rPr>
                <m:sty m:val="p"/>
              </m:rPr>
              <m:t xml:space="preserve">x</m:t>
            </m:r>
          </m:sub>
        </m:sSub>
        <m:r>
          <w:rPr>
            <w:rFonts w:ascii="Cambria Math" w:hAnsi="Cambria Math"/>
            <w:sz w:val="23"/>
          </w:rPr>
          <m:rPr>
            <m:sty m:val="p"/>
          </m:rPr>
          <m:t xml:space="preserve"> − δu + 0.4A(t) sin </m:t>
        </m:r>
        <m:sSub>
          <m:e>
            <m:r>
              <w:rPr>
                <w:rFonts w:ascii="Cambria Math" w:hAnsi="Cambria Math"/>
                <w:sz w:val="23"/>
              </w:rPr>
              <m:rPr>
                <m:sty m:val="p"/>
              </m:rPr>
              <m:t xml:space="preserve">θ</m:t>
            </m:r>
          </m:e>
          <m:sub>
            <m:r>
              <w:rPr>
                <w:rFonts w:ascii="Cambria Math" w:hAnsi="Cambria Math"/>
                <w:sz w:val="23"/>
              </w:rPr>
              <m:rPr>
                <m:sty m:val="p"/>
              </m:rPr>
              <m:t xml:space="preserve">x</m:t>
            </m:r>
          </m:sub>
        </m:sSub>
      </m:oMath>
      <w:r>
        <w:rPr>
          <w:sz w:val="20"/>
        </w:rPr>
        <w:t xml:space="preserve">   (S2)</w:t>
      </w:r>
    </w:p>
    <w:p>
      <w:pPr>
        <w:pStyle w:val="Heading2"/>
      </w:pPr>
      <w:r>
        <w:t>S1.3 Kuramoto Sivashinsky dynamics</w:t>
      </w:r>
    </w:p>
    <w:p>
      <w:r>
        <w:t>The scalar field has destabilizing diffusion α, fourth-derivative dissipation β, and nonlinear transport coefficient γ.</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−α</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β</m:t>
        </m:r>
        <m:sSub>
          <m:e>
            <m:r>
              <w:rPr>
                <w:rFonts w:ascii="Cambria Math" w:hAnsi="Cambria Math"/>
                <w:sz w:val="23"/>
              </w:rPr>
              <m:rPr>
                <m:sty m:val="p"/>
              </m:rPr>
              <m:t xml:space="preserve">u</m:t>
            </m:r>
          </m:e>
          <m:sub>
            <m:r>
              <w:rPr>
                <w:rFonts w:ascii="Cambria Math" w:hAnsi="Cambria Math"/>
                <w:sz w:val="23"/>
              </w:rPr>
              <m:rPr>
                <m:sty m:val="p"/>
              </m:rPr>
              <m:t xml:space="preserve">xxxx</m:t>
            </m:r>
          </m:sub>
        </m:sSub>
        <m:r>
          <w:rPr>
            <w:rFonts w:ascii="Cambria Math" w:hAnsi="Cambria Math"/>
            <w:sz w:val="23"/>
          </w:rPr>
          <m:rPr>
            <m:sty m:val="p"/>
          </m:rPr>
          <m:t xml:space="preserve"> − γu</m:t>
        </m:r>
        <m:sSub>
          <m:e>
            <m:r>
              <w:rPr>
                <w:rFonts w:ascii="Cambria Math" w:hAnsi="Cambria Math"/>
                <w:sz w:val="23"/>
              </w:rPr>
              <m:rPr>
                <m:sty m:val="p"/>
              </m:rPr>
              <m:t xml:space="preserve">u</m:t>
            </m:r>
          </m:e>
          <m:sub>
            <m:r>
              <w:rPr>
                <w:rFonts w:ascii="Cambria Math" w:hAnsi="Cambria Math"/>
                <w:sz w:val="23"/>
              </w:rPr>
              <m:rPr>
                <m:sty m:val="p"/>
              </m:rPr>
              <m:t xml:space="preserve">x</m:t>
            </m:r>
          </m:sub>
        </m:sSub>
        <m:r>
          <w:rPr>
            <w:rFonts w:ascii="Cambria Math" w:hAnsi="Cambria Math"/>
            <w:sz w:val="23"/>
          </w:rPr>
          <m:rPr>
            <m:sty m:val="p"/>
          </m:rPr>
          <m:t xml:space="preserve"> + A(t)[0.1 sin </m:t>
        </m:r>
        <m:sSub>
          <m:e>
            <m:r>
              <w:rPr>
                <w:rFonts w:ascii="Cambria Math" w:hAnsi="Cambria Math"/>
                <w:sz w:val="23"/>
              </w:rPr>
              <m:rPr>
                <m:sty m:val="p"/>
              </m:rPr>
              <m:t xml:space="preserve">θ</m:t>
            </m:r>
          </m:e>
          <m:sub>
            <m:r>
              <w:rPr>
                <w:rFonts w:ascii="Cambria Math" w:hAnsi="Cambria Math"/>
                <w:sz w:val="23"/>
              </w:rPr>
              <m:rPr>
                <m:sty m:val="p"/>
              </m:rPr>
              <m:t xml:space="preserve">x</m:t>
            </m:r>
          </m:sub>
        </m:sSub>
        <m:r>
          <w:rPr>
            <w:rFonts w:ascii="Cambria Math" w:hAnsi="Cambria Math"/>
            <w:sz w:val="23"/>
          </w:rPr>
          <m:rPr>
            <m:sty m:val="p"/>
          </m:rPr>
          <m:t xml:space="preserve"> + 0.05 cos(2</m:t>
        </m:r>
        <m:sSub>
          <m:e>
            <m:r>
              <w:rPr>
                <w:rFonts w:ascii="Cambria Math" w:hAnsi="Cambria Math"/>
                <w:sz w:val="23"/>
              </w:rPr>
              <m:rPr>
                <m:sty m:val="p"/>
              </m:rPr>
              <m:t xml:space="preserve">θ</m:t>
            </m:r>
          </m:e>
          <m:sub>
            <m:r>
              <w:rPr>
                <w:rFonts w:ascii="Cambria Math" w:hAnsi="Cambria Math"/>
                <w:sz w:val="23"/>
              </w:rPr>
              <m:rPr>
                <m:sty m:val="p"/>
              </m:rPr>
              <m:t xml:space="preserve">x</m:t>
            </m:r>
          </m:sub>
        </m:sSub>
        <m:r>
          <w:rPr>
            <w:rFonts w:ascii="Cambria Math" w:hAnsi="Cambria Math"/>
            <w:sz w:val="23"/>
          </w:rPr>
          <m:rPr>
            <m:sty m:val="p"/>
          </m:rPr>
          <m:t xml:space="preserve">)]</m:t>
        </m:r>
      </m:oMath>
      <w:r>
        <w:rPr>
          <w:sz w:val="20"/>
        </w:rPr>
        <w:t xml:space="preserve">   (S3)</w:t>
      </w:r>
    </w:p>
    <w:p>
      <w:pPr>
        <w:pStyle w:val="Heading2"/>
      </w:pPr>
      <w:r>
        <w:t>S1.4 Advection diffusion</w:t>
      </w:r>
    </w:p>
    <w:p>
      <w:r>
        <w:t>The parameters are diffusivity D, transport speed v, and drag γ.</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D</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v</m:t>
        </m:r>
        <m:sSub>
          <m:e>
            <m:r>
              <w:rPr>
                <w:rFonts w:ascii="Cambria Math" w:hAnsi="Cambria Math"/>
                <w:sz w:val="23"/>
              </w:rPr>
              <m:rPr>
                <m:sty m:val="p"/>
              </m:rPr>
              <m:t xml:space="preserve">u</m:t>
            </m:r>
          </m:e>
          <m:sub>
            <m:r>
              <w:rPr>
                <w:rFonts w:ascii="Cambria Math" w:hAnsi="Cambria Math"/>
                <w:sz w:val="23"/>
              </w:rPr>
              <m:rPr>
                <m:sty m:val="p"/>
              </m:rPr>
              <m:t xml:space="preserve">x</m:t>
            </m:r>
          </m:sub>
        </m:sSub>
        <m:r>
          <w:rPr>
            <w:rFonts w:ascii="Cambria Math" w:hAnsi="Cambria Math"/>
            <w:sz w:val="23"/>
          </w:rPr>
          <m:rPr>
            <m:sty m:val="p"/>
          </m:rPr>
          <m:t xml:space="preserve"> − γu + A(t)[0.4 sin </m:t>
        </m:r>
        <m:sSub>
          <m:e>
            <m:r>
              <w:rPr>
                <w:rFonts w:ascii="Cambria Math" w:hAnsi="Cambria Math"/>
                <w:sz w:val="23"/>
              </w:rPr>
              <m:rPr>
                <m:sty m:val="p"/>
              </m:rPr>
              <m:t xml:space="preserve">θ</m:t>
            </m:r>
          </m:e>
          <m:sub>
            <m:r>
              <w:rPr>
                <w:rFonts w:ascii="Cambria Math" w:hAnsi="Cambria Math"/>
                <w:sz w:val="23"/>
              </w:rPr>
              <m:rPr>
                <m:sty m:val="p"/>
              </m:rPr>
              <m:t xml:space="preserve">x</m:t>
            </m:r>
          </m:sub>
        </m:sSub>
        <m:r>
          <w:rPr>
            <w:rFonts w:ascii="Cambria Math" w:hAnsi="Cambria Math"/>
            <w:sz w:val="23"/>
          </w:rPr>
          <m:rPr>
            <m:sty m:val="p"/>
          </m:rPr>
          <m:t xml:space="preserve"> + 0.15 cos(3</m:t>
        </m:r>
        <m:sSub>
          <m:e>
            <m:r>
              <w:rPr>
                <w:rFonts w:ascii="Cambria Math" w:hAnsi="Cambria Math"/>
                <w:sz w:val="23"/>
              </w:rPr>
              <m:rPr>
                <m:sty m:val="p"/>
              </m:rPr>
              <m:t xml:space="preserve">θ</m:t>
            </m:r>
          </m:e>
          <m:sub>
            <m:r>
              <w:rPr>
                <w:rFonts w:ascii="Cambria Math" w:hAnsi="Cambria Math"/>
                <w:sz w:val="23"/>
              </w:rPr>
              <m:rPr>
                <m:sty m:val="p"/>
              </m:rPr>
              <m:t xml:space="preserve">x</m:t>
            </m:r>
          </m:sub>
        </m:sSub>
        <m:r>
          <w:rPr>
            <w:rFonts w:ascii="Cambria Math" w:hAnsi="Cambria Math"/>
            <w:sz w:val="23"/>
          </w:rPr>
          <m:rPr>
            <m:sty m:val="p"/>
          </m:rPr>
          <m:t xml:space="preserve">)]</m:t>
        </m:r>
      </m:oMath>
      <w:r>
        <w:rPr>
          <w:sz w:val="20"/>
        </w:rPr>
        <w:t xml:space="preserve">   (S4)</w:t>
      </w:r>
    </w:p>
    <w:p>
      <w:pPr>
        <w:pStyle w:val="Heading2"/>
      </w:pPr>
      <w:r>
        <w:t>S1.5 Allen Cahn dynamics</w:t>
      </w:r>
    </w:p>
    <w:p>
      <w:r>
        <w:t>The parameters are diffusivity D, reaction rate r, and forcing strength b.</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D</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r(u − </m:t>
        </m:r>
        <m:sSup>
          <m:e>
            <m:r>
              <w:rPr>
                <w:rFonts w:ascii="Cambria Math" w:hAnsi="Cambria Math"/>
                <w:sz w:val="23"/>
              </w:rPr>
              <m:rPr>
                <m:sty m:val="p"/>
              </m:rPr>
              <m:t xml:space="preserve">u</m:t>
            </m:r>
          </m:e>
          <m:sup>
            <m:r>
              <w:rPr>
                <w:rFonts w:ascii="Cambria Math" w:hAnsi="Cambria Math"/>
                <w:sz w:val="23"/>
              </w:rPr>
              <m:rPr>
                <m:sty m:val="p"/>
              </m:rPr>
              <m:t xml:space="preserve">3</m:t>
            </m:r>
          </m:sup>
        </m:sSup>
        <m:r>
          <w:rPr>
            <w:rFonts w:ascii="Cambria Math" w:hAnsi="Cambria Math"/>
            <w:sz w:val="23"/>
          </w:rPr>
          <m:rPr>
            <m:sty m:val="p"/>
          </m:rPr>
          <m:t xml:space="preserve">) + bA(t) sin </m:t>
        </m:r>
        <m:sSub>
          <m:e>
            <m:r>
              <w:rPr>
                <w:rFonts w:ascii="Cambria Math" w:hAnsi="Cambria Math"/>
                <w:sz w:val="23"/>
              </w:rPr>
              <m:rPr>
                <m:sty m:val="p"/>
              </m:rPr>
              <m:t xml:space="preserve">θ</m:t>
            </m:r>
          </m:e>
          <m:sub>
            <m:r>
              <w:rPr>
                <w:rFonts w:ascii="Cambria Math" w:hAnsi="Cambria Math"/>
                <w:sz w:val="23"/>
              </w:rPr>
              <m:rPr>
                <m:sty m:val="p"/>
              </m:rPr>
              <m:t xml:space="preserve">x</m:t>
            </m:r>
          </m:sub>
        </m:sSub>
      </m:oMath>
      <w:r>
        <w:rPr>
          <w:sz w:val="20"/>
        </w:rPr>
        <w:t xml:space="preserve">   (S5)</w:t>
      </w:r>
    </w:p>
    <w:p>
      <w:pPr>
        <w:pStyle w:val="Heading2"/>
      </w:pPr>
      <w:r>
        <w:t>S1.6 Gray Scott dynamics</w:t>
      </w:r>
    </w:p>
    <w:p>
      <w:r>
        <w:t xml:space="preserve">The concentration fields U and V share a spatially varying feed </w:t>
      </w:r>
      <w:r>
        <w:t>F</w:t>
      </w:r>
      <w:r>
        <w:rPr>
          <w:vertAlign w:val="subscript"/>
        </w:rPr>
        <w:t>t</w:t>
      </w:r>
      <w:r>
        <w:t>(x). The parameters are substrate diffusivity D, feed center F, and removal rate k.</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D</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U</m:t>
        </m:r>
        <m:sSup>
          <m:e>
            <m:r>
              <w:rPr>
                <w:rFonts w:ascii="Cambria Math" w:hAnsi="Cambria Math"/>
                <w:sz w:val="23"/>
              </w:rPr>
              <m:rPr>
                <m:sty m:val="p"/>
              </m:rPr>
              <m:t xml:space="preserve">V</m:t>
            </m:r>
          </m:e>
          <m:sup>
            <m:r>
              <w:rPr>
                <w:rFonts w:ascii="Cambria Math" w:hAnsi="Cambria Math"/>
                <w:sz w:val="23"/>
              </w:rPr>
              <m:rPr>
                <m:sty m:val="p"/>
              </m:rPr>
              <m:t xml:space="preserve">2</m:t>
            </m:r>
          </m:sup>
        </m:sSup>
        <m:r>
          <w:rPr>
            <w:rFonts w:ascii="Cambria Math" w:hAnsi="Cambria Math"/>
            <w:sz w:val="23"/>
          </w:rPr>
          <m:rPr>
            <m:sty m:val="p"/>
          </m:rPr>
          <m:t xml:space="preserve"> + </m:t>
        </m:r>
        <m:sSub>
          <m:e>
            <m:r>
              <w:rPr>
                <w:rFonts w:ascii="Cambria Math" w:hAnsi="Cambria Math"/>
                <w:sz w:val="23"/>
              </w:rPr>
              <m:rPr>
                <m:sty m:val="p"/>
              </m:rPr>
              <m:t xml:space="preserve">F</m:t>
            </m:r>
          </m:e>
          <m:sub>
            <m:r>
              <w:rPr>
                <w:rFonts w:ascii="Cambria Math" w:hAnsi="Cambria Math"/>
                <w:sz w:val="23"/>
              </w:rPr>
              <m:rPr>
                <m:sty m:val="p"/>
              </m:rPr>
              <m:t xml:space="preserve">t</m:t>
            </m:r>
          </m:sub>
        </m:sSub>
        <m:r>
          <w:rPr>
            <w:rFonts w:ascii="Cambria Math" w:hAnsi="Cambria Math"/>
            <w:sz w:val="23"/>
          </w:rPr>
          <m:rPr>
            <m:sty m:val="p"/>
          </m:rPr>
          <m:t xml:space="preserve">(x)(1 − U)</m:t>
        </m:r>
      </m:oMath>
      <w:r>
        <w:rPr>
          <w:sz w:val="20"/>
        </w:rPr>
        <w:t xml:space="preserve">   (S6)</w:t>
      </w:r>
    </w:p>
    <w:p>
      <w:pPr>
        <w:keepLines/>
        <w:spacing w:after="100" w:before="40"/>
        <w:jc w:val="center"/>
      </w:pPr>
      <m:oMath>
        <m:sSub>
          <m:e>
            <m:r>
              <w:rPr>
                <w:rFonts w:ascii="Cambria Math" w:hAnsi="Cambria Math"/>
                <w:sz w:val="23"/>
              </w:rPr>
              <m:rPr>
                <m:sty m:val="p"/>
              </m:rPr>
              <m:t xml:space="preserve">V</m:t>
            </m:r>
          </m:e>
          <m:sub>
            <m:r>
              <w:rPr>
                <w:rFonts w:ascii="Cambria Math" w:hAnsi="Cambria Math"/>
                <w:sz w:val="23"/>
              </w:rPr>
              <m:rPr>
                <m:sty m:val="p"/>
              </m:rPr>
              <m:t xml:space="preserve">t</m:t>
            </m:r>
          </m:sub>
        </m:sSub>
        <m:r>
          <w:rPr>
            <w:rFonts w:ascii="Cambria Math" w:hAnsi="Cambria Math"/>
            <w:sz w:val="23"/>
          </w:rPr>
          <m:rPr>
            <m:sty m:val="p"/>
          </m:rPr>
          <m:t xml:space="preserve"> = </m:t>
        </m:r>
        <m:f>
          <m:num>
            <m:r>
              <w:rPr>
                <w:rFonts w:ascii="Cambria Math" w:hAnsi="Cambria Math"/>
                <w:sz w:val="23"/>
              </w:rPr>
              <m:rPr>
                <m:sty m:val="p"/>
              </m:rPr>
              <m:t xml:space="preserve">D</m:t>
            </m:r>
          </m:num>
          <m:den>
            <m:r>
              <w:rPr>
                <w:rFonts w:ascii="Cambria Math" w:hAnsi="Cambria Math"/>
                <w:sz w:val="23"/>
              </w:rPr>
              <m:rPr>
                <m:sty m:val="p"/>
              </m:rPr>
              <m:t xml:space="preserve">2</m:t>
            </m:r>
          </m:den>
        </m:f>
        <m:sSub>
          <m:e>
            <m:r>
              <w:rPr>
                <w:rFonts w:ascii="Cambria Math" w:hAnsi="Cambria Math"/>
                <w:sz w:val="23"/>
              </w:rPr>
              <m:rPr>
                <m:sty m:val="p"/>
              </m:rPr>
              <m:t xml:space="preserve">V</m:t>
            </m:r>
          </m:e>
          <m:sub>
            <m:r>
              <w:rPr>
                <w:rFonts w:ascii="Cambria Math" w:hAnsi="Cambria Math"/>
                <w:sz w:val="23"/>
              </w:rPr>
              <m:rPr>
                <m:sty m:val="p"/>
              </m:rPr>
              <m:t xml:space="preserve">xx</m:t>
            </m:r>
          </m:sub>
        </m:sSub>
        <m:r>
          <w:rPr>
            <w:rFonts w:ascii="Cambria Math" w:hAnsi="Cambria Math"/>
            <w:sz w:val="23"/>
          </w:rPr>
          <m:rPr>
            <m:sty m:val="p"/>
          </m:rPr>
          <m:t xml:space="preserve"> + U</m:t>
        </m:r>
        <m:sSup>
          <m:e>
            <m:r>
              <w:rPr>
                <w:rFonts w:ascii="Cambria Math" w:hAnsi="Cambria Math"/>
                <w:sz w:val="23"/>
              </w:rPr>
              <m:rPr>
                <m:sty m:val="p"/>
              </m:rPr>
              <m:t xml:space="preserve">V</m:t>
            </m:r>
          </m:e>
          <m:sup>
            <m:r>
              <w:rPr>
                <w:rFonts w:ascii="Cambria Math" w:hAnsi="Cambria Math"/>
                <w:sz w:val="23"/>
              </w:rPr>
              <m:rPr>
                <m:sty m:val="p"/>
              </m:rPr>
              <m:t xml:space="preserve">2</m:t>
            </m:r>
          </m:sup>
        </m:sSup>
        <m:r>
          <w:rPr>
            <w:rFonts w:ascii="Cambria Math" w:hAnsi="Cambria Math"/>
            <w:sz w:val="23"/>
          </w:rPr>
          <m:rPr>
            <m:sty m:val="p"/>
          </m:rPr>
          <m:t xml:space="preserve"> − [</m:t>
        </m:r>
        <m:sSub>
          <m:e>
            <m:r>
              <w:rPr>
                <w:rFonts w:ascii="Cambria Math" w:hAnsi="Cambria Math"/>
                <w:sz w:val="23"/>
              </w:rPr>
              <m:rPr>
                <m:sty m:val="p"/>
              </m:rPr>
              <m:t xml:space="preserve">F</m:t>
            </m:r>
          </m:e>
          <m:sub>
            <m:r>
              <w:rPr>
                <w:rFonts w:ascii="Cambria Math" w:hAnsi="Cambria Math"/>
                <w:sz w:val="23"/>
              </w:rPr>
              <m:rPr>
                <m:sty m:val="p"/>
              </m:rPr>
              <m:t xml:space="preserve">t</m:t>
            </m:r>
          </m:sub>
        </m:sSub>
        <m:r>
          <w:rPr>
            <w:rFonts w:ascii="Cambria Math" w:hAnsi="Cambria Math"/>
            <w:sz w:val="23"/>
          </w:rPr>
          <m:rPr>
            <m:sty m:val="p"/>
          </m:rPr>
          <m:t xml:space="preserve">(x) + k]V</m:t>
        </m:r>
      </m:oMath>
    </w:p>
    <w:p>
      <w:pPr>
        <w:keepLines/>
        <w:spacing w:after="100" w:before="40"/>
        <w:jc w:val="center"/>
      </w:pPr>
      <m:oMath>
        <m:sSub>
          <m:e>
            <m:r>
              <w:rPr>
                <w:rFonts w:ascii="Cambria Math" w:hAnsi="Cambria Math"/>
                <w:sz w:val="23"/>
              </w:rPr>
              <m:rPr>
                <m:sty m:val="p"/>
              </m:rPr>
              <m:t xml:space="preserve">F</m:t>
            </m:r>
          </m:e>
          <m:sub>
            <m:r>
              <w:rPr>
                <w:rFonts w:ascii="Cambria Math" w:hAnsi="Cambria Math"/>
                <w:sz w:val="23"/>
              </w:rPr>
              <m:rPr>
                <m:sty m:val="p"/>
              </m:rPr>
              <m:t xml:space="preserve">t</m:t>
            </m:r>
          </m:sub>
        </m:sSub>
        <m:r>
          <w:rPr>
            <w:rFonts w:ascii="Cambria Math" w:hAnsi="Cambria Math"/>
            <w:sz w:val="23"/>
          </w:rPr>
          <m:rPr>
            <m:sty m:val="p"/>
          </m:rPr>
          <m:t xml:space="preserve">(x) = F[1 + 0.35A(t) sin </m:t>
        </m:r>
        <m:sSub>
          <m:e>
            <m:r>
              <w:rPr>
                <w:rFonts w:ascii="Cambria Math" w:hAnsi="Cambria Math"/>
                <w:sz w:val="23"/>
              </w:rPr>
              <m:rPr>
                <m:sty m:val="p"/>
              </m:rPr>
              <m:t xml:space="preserve">θ</m:t>
            </m:r>
          </m:e>
          <m:sub>
            <m:r>
              <w:rPr>
                <w:rFonts w:ascii="Cambria Math" w:hAnsi="Cambria Math"/>
                <w:sz w:val="23"/>
              </w:rPr>
              <m:rPr>
                <m:sty m:val="p"/>
              </m:rPr>
              <m:t xml:space="preserve">x</m:t>
            </m:r>
          </m:sub>
        </m:sSub>
        <m:r>
          <w:rPr>
            <w:rFonts w:ascii="Cambria Math" w:hAnsi="Cambria Math"/>
            <w:sz w:val="23"/>
          </w:rPr>
          <m:rPr>
            <m:sty m:val="p"/>
          </m:rPr>
          <m:t xml:space="preserve">]</m:t>
        </m:r>
      </m:oMath>
    </w:p>
    <w:p>
      <w:pPr>
        <w:pStyle w:val="Heading2"/>
      </w:pPr>
      <w:r>
        <w:t>S1.7 Cahn Hilliard dynamics</w:t>
      </w:r>
    </w:p>
    <w:p>
      <w:r>
        <w:t>The parameters a, b, and c control interfacial stiffness, the nonlinear chemical-potential scale, and forcing.</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−a</m:t>
        </m:r>
        <m:sSub>
          <m:e>
            <m:r>
              <w:rPr>
                <w:rFonts w:ascii="Cambria Math" w:hAnsi="Cambria Math"/>
                <w:sz w:val="23"/>
              </w:rPr>
              <m:rPr>
                <m:sty m:val="p"/>
              </m:rPr>
              <m:t xml:space="preserve">u</m:t>
            </m:r>
          </m:e>
          <m:sub>
            <m:r>
              <w:rPr>
                <w:rFonts w:ascii="Cambria Math" w:hAnsi="Cambria Math"/>
                <w:sz w:val="23"/>
              </w:rPr>
              <m:rPr>
                <m:sty m:val="p"/>
              </m:rPr>
              <m:t xml:space="preserve">xxxx</m:t>
            </m:r>
          </m:sub>
        </m:sSub>
        <m:r>
          <w:rPr>
            <w:rFonts w:ascii="Cambria Math" w:hAnsi="Cambria Math"/>
            <w:sz w:val="23"/>
          </w:rPr>
          <m:rPr>
            <m:sty m:val="p"/>
          </m:rPr>
          <m:t xml:space="preserve"> + b</m:t>
        </m:r>
        <m:sSub>
          <m:e>
            <m:r>
              <w:rPr>
                <w:rFonts w:ascii="Cambria Math" w:hAnsi="Cambria Math"/>
                <w:sz w:val="23"/>
              </w:rPr>
              <m:rPr>
                <m:sty m:val="p"/>
              </m:rPr>
              <m:t xml:space="preserve">(</m:t>
            </m:r>
            <m:sSup>
              <m:e>
                <m:r>
                  <w:rPr>
                    <w:rFonts w:ascii="Cambria Math" w:hAnsi="Cambria Math"/>
                    <w:sz w:val="23"/>
                  </w:rPr>
                  <m:rPr>
                    <m:sty m:val="p"/>
                  </m:rPr>
                  <m:t xml:space="preserve">u</m:t>
                </m:r>
              </m:e>
              <m:sup>
                <m:r>
                  <w:rPr>
                    <w:rFonts w:ascii="Cambria Math" w:hAnsi="Cambria Math"/>
                    <w:sz w:val="23"/>
                  </w:rPr>
                  <m:rPr>
                    <m:sty m:val="p"/>
                  </m:rPr>
                  <m:t xml:space="preserve">3</m:t>
                </m:r>
              </m:sup>
            </m:sSup>
            <m:r>
              <w:rPr>
                <w:rFonts w:ascii="Cambria Math" w:hAnsi="Cambria Math"/>
                <w:sz w:val="23"/>
              </w:rPr>
              <m:rPr>
                <m:sty m:val="p"/>
              </m:rPr>
              <m:t xml:space="preserve"> − u)</m:t>
            </m:r>
          </m:e>
          <m:sub>
            <m:r>
              <w:rPr>
                <w:rFonts w:ascii="Cambria Math" w:hAnsi="Cambria Math"/>
                <w:sz w:val="23"/>
              </w:rPr>
              <m:rPr>
                <m:sty m:val="p"/>
              </m:rPr>
              <m:t xml:space="preserve">xx</m:t>
            </m:r>
          </m:sub>
        </m:sSub>
        <m:r>
          <w:rPr>
            <w:rFonts w:ascii="Cambria Math" w:hAnsi="Cambria Math"/>
            <w:sz w:val="23"/>
          </w:rPr>
          <m:rPr>
            <m:sty m:val="p"/>
          </m:rPr>
          <m:t xml:space="preserve"> + cA(t) sin </m:t>
        </m:r>
        <m:sSub>
          <m:e>
            <m:r>
              <w:rPr>
                <w:rFonts w:ascii="Cambria Math" w:hAnsi="Cambria Math"/>
                <w:sz w:val="23"/>
              </w:rPr>
              <m:rPr>
                <m:sty m:val="p"/>
              </m:rPr>
              <m:t xml:space="preserve">θ</m:t>
            </m:r>
          </m:e>
          <m:sub>
            <m:r>
              <w:rPr>
                <w:rFonts w:ascii="Cambria Math" w:hAnsi="Cambria Math"/>
                <w:sz w:val="23"/>
              </w:rPr>
              <m:rPr>
                <m:sty m:val="p"/>
              </m:rPr>
              <m:t xml:space="preserve">x</m:t>
            </m:r>
          </m:sub>
        </m:sSub>
      </m:oMath>
      <w:r>
        <w:rPr>
          <w:sz w:val="20"/>
        </w:rPr>
        <w:t xml:space="preserve">   (S7)</w:t>
      </w:r>
    </w:p>
    <w:p>
      <w:r>
        <w:t>The omitted-term prior removes the second spatial derivative of u³ multiplied by b. The remaining unforced terms are the fourth spatial derivative of u multiplied by −a and the second spatial derivative of u multiplied by −b. This change preserves the destabilizing linear contribution and removes the cubic saturation.</w:t>
      </w:r>
    </w:p>
    <w:p>
      <w:pPr>
        <w:pStyle w:val="Heading2"/>
      </w:pPr>
      <w:r>
        <w:t>S1.8 FitzHugh Nagumo dynamics</w:t>
      </w:r>
    </w:p>
    <w:p>
      <w:r>
        <w:t>The activator u and recovery variable v use diffusivity D, recovery rate b, and forcing strength c.</w:t>
      </w:r>
    </w:p>
    <w:p>
      <w:pPr>
        <w:keepLines/>
        <w:spacing w:after="100" w:before="40"/>
        <w:jc w:val="center"/>
      </w:pPr>
      <m:oMath>
        <m:sSub>
          <m:e>
            <m:r>
              <w:rPr>
                <w:rFonts w:ascii="Cambria Math" w:hAnsi="Cambria Math"/>
                <w:sz w:val="23"/>
              </w:rPr>
              <m:rPr>
                <m:sty m:val="p"/>
              </m:rPr>
              <m:t xml:space="preserve">u</m:t>
            </m:r>
          </m:e>
          <m:sub>
            <m:r>
              <w:rPr>
                <w:rFonts w:ascii="Cambria Math" w:hAnsi="Cambria Math"/>
                <w:sz w:val="23"/>
              </w:rPr>
              <m:rPr>
                <m:sty m:val="p"/>
              </m:rPr>
              <m:t xml:space="preserve">t</m:t>
            </m:r>
          </m:sub>
        </m:sSub>
        <m:r>
          <w:rPr>
            <w:rFonts w:ascii="Cambria Math" w:hAnsi="Cambria Math"/>
            <w:sz w:val="23"/>
          </w:rPr>
          <m:rPr>
            <m:sty m:val="p"/>
          </m:rPr>
          <m:t xml:space="preserve"> = D</m:t>
        </m:r>
        <m:sSub>
          <m:e>
            <m:r>
              <w:rPr>
                <w:rFonts w:ascii="Cambria Math" w:hAnsi="Cambria Math"/>
                <w:sz w:val="23"/>
              </w:rPr>
              <m:rPr>
                <m:sty m:val="p"/>
              </m:rPr>
              <m:t xml:space="preserve">u</m:t>
            </m:r>
          </m:e>
          <m:sub>
            <m:r>
              <w:rPr>
                <w:rFonts w:ascii="Cambria Math" w:hAnsi="Cambria Math"/>
                <w:sz w:val="23"/>
              </w:rPr>
              <m:rPr>
                <m:sty m:val="p"/>
              </m:rPr>
              <m:t xml:space="preserve">xx</m:t>
            </m:r>
          </m:sub>
        </m:sSub>
        <m:r>
          <w:rPr>
            <w:rFonts w:ascii="Cambria Math" w:hAnsi="Cambria Math"/>
            <w:sz w:val="23"/>
          </w:rPr>
          <m:rPr>
            <m:sty m:val="p"/>
          </m:rPr>
          <m:t xml:space="preserve"> + u − </m:t>
        </m:r>
        <m:f>
          <m:num>
            <m:sSup>
              <m:e>
                <m:r>
                  <w:rPr>
                    <w:rFonts w:ascii="Cambria Math" w:hAnsi="Cambria Math"/>
                    <w:sz w:val="23"/>
                  </w:rPr>
                  <m:rPr>
                    <m:sty m:val="p"/>
                  </m:rPr>
                  <m:t xml:space="preserve">u</m:t>
                </m:r>
              </m:e>
              <m:sup>
                <m:r>
                  <w:rPr>
                    <w:rFonts w:ascii="Cambria Math" w:hAnsi="Cambria Math"/>
                    <w:sz w:val="23"/>
                  </w:rPr>
                  <m:rPr>
                    <m:sty m:val="p"/>
                  </m:rPr>
                  <m:t xml:space="preserve">3</m:t>
                </m:r>
              </m:sup>
            </m:sSup>
          </m:num>
          <m:den>
            <m:r>
              <w:rPr>
                <w:rFonts w:ascii="Cambria Math" w:hAnsi="Cambria Math"/>
                <w:sz w:val="23"/>
              </w:rPr>
              <m:rPr>
                <m:sty m:val="p"/>
              </m:rPr>
              <m:t xml:space="preserve">3</m:t>
            </m:r>
          </m:den>
        </m:f>
        <m:r>
          <w:rPr>
            <w:rFonts w:ascii="Cambria Math" w:hAnsi="Cambria Math"/>
            <w:sz w:val="23"/>
          </w:rPr>
          <m:rPr>
            <m:sty m:val="p"/>
          </m:rPr>
          <m:t xml:space="preserve"> − v + cA(t) sin </m:t>
        </m:r>
        <m:sSub>
          <m:e>
            <m:r>
              <w:rPr>
                <w:rFonts w:ascii="Cambria Math" w:hAnsi="Cambria Math"/>
                <w:sz w:val="23"/>
              </w:rPr>
              <m:rPr>
                <m:sty m:val="p"/>
              </m:rPr>
              <m:t xml:space="preserve">θ</m:t>
            </m:r>
          </m:e>
          <m:sub>
            <m:r>
              <w:rPr>
                <w:rFonts w:ascii="Cambria Math" w:hAnsi="Cambria Math"/>
                <w:sz w:val="23"/>
              </w:rPr>
              <m:rPr>
                <m:sty m:val="p"/>
              </m:rPr>
              <m:t xml:space="preserve">x</m:t>
            </m:r>
          </m:sub>
        </m:sSub>
      </m:oMath>
      <w:r>
        <w:rPr>
          <w:sz w:val="20"/>
        </w:rPr>
        <w:t xml:space="preserve">   (S8)</w:t>
      </w:r>
    </w:p>
    <w:p>
      <w:pPr>
        <w:keepLines/>
        <w:spacing w:after="100" w:before="40"/>
        <w:jc w:val="center"/>
      </w:pPr>
      <m:oMath>
        <m:sSub>
          <m:e>
            <m:r>
              <w:rPr>
                <w:rFonts w:ascii="Cambria Math" w:hAnsi="Cambria Math"/>
                <w:sz w:val="23"/>
              </w:rPr>
              <m:rPr>
                <m:sty m:val="p"/>
              </m:rPr>
              <m:t xml:space="preserve">v</m:t>
            </m:r>
          </m:e>
          <m:sub>
            <m:r>
              <w:rPr>
                <w:rFonts w:ascii="Cambria Math" w:hAnsi="Cambria Math"/>
                <w:sz w:val="23"/>
              </w:rPr>
              <m:rPr>
                <m:sty m:val="p"/>
              </m:rPr>
              <m:t xml:space="preserve">t</m:t>
            </m:r>
          </m:sub>
        </m:sSub>
        <m:r>
          <w:rPr>
            <w:rFonts w:ascii="Cambria Math" w:hAnsi="Cambria Math"/>
            <w:sz w:val="23"/>
          </w:rPr>
          <m:rPr>
            <m:sty m:val="p"/>
          </m:rPr>
          <m:t xml:space="preserve"> = b(u + 0.7 − 0.8v)</m:t>
        </m:r>
      </m:oMath>
    </w:p>
    <w:p>
      <w:r>
        <w:t>The omitted-term prior removes the −v contribution to the activator equation. The equation for v remains unchanged.</w:t>
      </w:r>
    </w:p>
    <w:p>
      <w:pPr>
        <w:pStyle w:val="Caption"/>
        <w:keepNext/>
      </w:pPr>
      <w:r>
        <w:t>Table S1. Coefficient centers, domain lengths, and observation intervals for the dimensionless systems. Coefficients appear in the order used for multiplicative bias.</w:t>
      </w:r>
    </w:p>
    <w:tbl>
      <w:tblPr>
        <w:tblW w:type="auto" w:w="0"/>
        <w:jc w:val="center"/>
        <w:tblLayout w:type="fixed"/>
        <w:tblLook w:firstColumn="1" w:firstRow="1" w:lastColumn="0" w:lastRow="0" w:noHBand="0" w:noVBand="1" w:val="04A0"/>
      </w:tblPr>
      <w:tblGrid>
        <w:gridCol w:w="2448"/>
        <w:gridCol w:w="1440"/>
        <w:gridCol w:w="2880"/>
        <w:gridCol w:w="1080"/>
        <w:gridCol w:w="1080"/>
      </w:tblGrid>
      <w:tr>
        <w:trPr>
          <w:tblHeade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Coefficients</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Centers</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L</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Δt</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c, γ, κ</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1, 0.1, 0.2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0.05</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ν, α, δ</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0.08, 1, 0.05</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α, β, γ</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0.25</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D, v, γ</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0.06, 1, 0.04</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D, r, b</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0.035, 1, 0.2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D, F, k</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0.16, 0.03, 0.04</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0.5</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a, b, c</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0.1, 0.5, 0.05</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0.05</w:t>
            </w:r>
          </w:p>
        </w:tc>
      </w:tr>
      <w:tr>
        <w:trPr>
          <w:cantSplit/>
        </w:trPr>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D, b, c</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0.03, 0.12, 0.2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2π</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w:t>
            </w:r>
          </w:p>
        </w:tc>
      </w:tr>
    </w:tbl>
    <w:p>
      <w:pPr>
        <w:spacing w:after="20"/>
      </w:pPr>
    </w:p>
    <w:p>
      <w:pPr>
        <w:pStyle w:val="Heading2"/>
      </w:pPr>
      <w:r>
        <w:t>S1.9 Initial conditions forcing and integration</w:t>
      </w:r>
    </w:p>
    <w:p>
      <w:r>
        <w:t>Most initial fields are sums of sine waves with independent phases uniform on [0, 2π]. Modes 1–3 are used, with modes 1–5 for Kuramoto–Sivashinsky. For mode m, amplitude is drawn uniformly from [0.5, 1.0] times B/m. The equation-specific B values are 0.35 for waves, 0.6 for Burgers, 0.8 for Kuramoto–Sivashinsky, 0.6 for advection–diffusion, 0.4 for Allen–Cahn, 0.25 for Cahn–Hilliard, and 0.6 for FitzHugh–Nagumo. Second-channel amplitudes are halved. Burgers adds a first-channel mean drawn from [−0.2, 0.2]; Cahn–Hilliard and FitzHugh–Nagumo use [−0.15, 0.15].</w:t>
      </w:r>
    </w:p>
    <w:p>
      <w:r>
        <w:t>Gray–Scott uses smooth positive concentration seeds. A bump is the weighted sum of a one-lobed term 0.6 exp{3[cos(</w:t>
      </w:r>
      <w:r>
        <w:t>θ</w:t>
      </w:r>
      <w:r>
        <w:rPr>
          <w:vertAlign w:val="subscript"/>
        </w:rPr>
        <w:t>x</w:t>
      </w:r>
      <w:r>
        <w:t xml:space="preserve"> − </w:t>
      </w:r>
      <w:r>
        <w:t>φ</w:t>
      </w:r>
      <w:r>
        <w:rPr>
          <w:vertAlign w:val="subscript"/>
        </w:rPr>
        <w:t>1</w:t>
      </w:r>
      <w:r>
        <w:t>) − 1]} and a two-lobed term 0.4 exp{4[cos(2</w:t>
      </w:r>
      <w:r>
        <w:t>θ</w:t>
      </w:r>
      <w:r>
        <w:rPr>
          <w:vertAlign w:val="subscript"/>
        </w:rPr>
        <w:t>x</w:t>
      </w:r>
      <w:r>
        <w:t xml:space="preserve"> − </w:t>
      </w:r>
      <w:r>
        <w:t>φ</w:t>
      </w:r>
      <w:r>
        <w:rPr>
          <w:vertAlign w:val="subscript"/>
        </w:rPr>
        <w:t>2</w:t>
      </w:r>
      <w:r>
        <w:t>) − 1]}, with independent random phases. Initial U is 0.8 − 0.35 times the bump. Initial V is 0.08 plus the bump multiplied by a uniform draw from [0.19, 0.25].</w:t>
      </w:r>
    </w:p>
    <w:p>
      <w:r>
        <w:t>The action is generated by linear interpolation between independent uniform [−1, 1] knots separated by eight observation intervals. Each interpolated action is held constant within its observation interval. The future action sequence is supplied during forecasting. Each trajectory has 24 burn-in transitions and 160 retained transitions, producing 161 retained states. Entire trajectories are allocated to the training, validation, in-distribution test, and shifted-coefficient test splits.</w:t>
      </w:r>
    </w:p>
    <w:p>
      <w:r>
        <w:t>Spatial derivatives use real Fourier transforms. Burgers and Kuramoto–Sivashinsky evaluate the quadratic transport term using a projection that retains Fourier indices strictly below N/3. The projected state is squared in physical space, and the differentiated product is projected again. The reaction terms in Allen–Cahn, Gray–Scott, Cahn–Hilliard, and FitzHugh–Nagumo are evaluated on the full physical grid. Their cubic products use the declared collocation grid without an additional projection.</w:t>
      </w:r>
    </w:p>
    <w:p>
      <w:r>
        <w:t>Waves use classical fourth-order Runge–Kutta integration. At N = 32, coarse, reference, and check updates use 1, 4, and 8 substeps per observation interval; at N = 64, they use 2, 8, and 16. Burgers, Kuramoto–Sivashinsky, and the reaction systems use the implemented Cox–Matthews fourth-order exponential time-differencing scheme, with 1, 4, and 8 substeps at these grids. Coefficient calculations are promoted to float64 before casting for float32 physical-target construction. Advection–diffusion uses an exact affine Fourier-mode transition for its held action, with the first derivative of the even-grid Nyquist mode set to zero.</w:t>
      </w:r>
    </w:p>
    <w:p>
      <w:r>
        <w:t>Reference observations are generated on the CPU in float64 and saved for neural training in float32. Auxiliary physical targets use the coarse operator in float32. In the coefficient-bias regime, the coefficient vector supplied to that operator is multiplied by (0.70, 1.30, 1.40). The same supplied vector enters the neural predictor through its fitted normalization.</w:t>
      </w:r>
    </w:p>
    <w:p>
      <w:r>
        <w:t>Temporal audits compare reference and check updates on four in-distribution and four shifted-coefficient probes over 32 intervals. The predefined normalized root-mean-square discrepancy tolerance is 0.001. This tolerance checks numerical reference adequacy; it is separate from the scientific effect comparisons. The follow-up also records descriptive grid-refinement comparisons over the burn-in and retained trajectory. Among the five equations tested at N = 64, the largest recorded spatial comparison error is 2.65 × 10⁻⁶. The Allen–Cahn comparison at N = 32 is larger, approximately 0.00647 in-distribution and 0.00327 under coefficient shift. These diagnostics describe the sampled numerical trajectories.</w:t>
      </w:r>
    </w:p>
    <w:p>
      <w:pPr>
        <w:pStyle w:val="Heading1"/>
      </w:pPr>
      <w:r>
        <w:t>S2 Model inputs and training settings</w:t>
      </w:r>
    </w:p>
    <w:p>
      <w:r>
        <w:t>State means and population standard deviations are estimated per channel over training trajectories, retained time points, and spatial positions. A floor of 10⁻⁶ is applied to the state standard deviation. Supplied coefficients are centered and scaled using their training mean and a scale equal to the maximum of their population standard deviation, 5% of the absolute mean, and 10⁻⁴. Actions retain their original scale.</w:t>
      </w:r>
    </w:p>
    <w:p>
      <w:r>
        <w:t>Because the coefficient distortion is positive and constant within a prior regime, both its mean and its standard-deviation-based scale change by the same factor. The absolute floor is inactive in the archived runs; the smallest recorded coefficient scale is approximately 0.00189. The standardized neural coefficient input is therefore unchanged apart from float32 rounding. The auxiliary physical operator still uses the biased, unstandardized coefficient values.</w:t>
      </w:r>
    </w:p>
    <w:p>
      <w:r>
        <w:t>Each transformer token contains the channel values at one time–space location, its scalar action, and the three standardized coefficients. An input projection maps these values to width 64. Fixed sinusoidal temporal and spatial encodings identify positions. Attention acts across all 4N context tokens. Each encoder layer uses pre-layer normalization, four heads, a feedforward width of 128, GELU activation, and zero dropout. The ordinary transformer uses three independent layers. The looped model applies one layer three times. A final normalization and linear head act on the last time slice's N tokens.</w:t>
      </w:r>
    </w:p>
    <w:p>
      <w:r>
        <w:t>The Fourier model flattens the four-state context into channels and concatenates the action history, coefficient broadcasts, and spatial position. A pointwise layer maps these inputs to width 64. Three layers combine a spectral convolution using eight real-FFT modes, including the zero mode, with a local 1 × 1 convolution and GELU activation. A final pointwise convolution predicts the state increment. All architectures have zero-initialized output heads, so their initial predictions equal persistence. Complex Fourier parameters are counted as two real parameters when reporting model size.</w:t>
      </w:r>
    </w:p>
    <w:p>
      <w:pPr>
        <w:pStyle w:val="Caption"/>
        <w:keepNext/>
      </w:pPr>
      <w:r>
        <w:t>Table S2. Shared training settings in the full experiment profiles.</w:t>
      </w:r>
    </w:p>
    <w:tbl>
      <w:tblPr>
        <w:tblW w:type="auto" w:w="0"/>
        <w:jc w:val="center"/>
        <w:tblLayout w:type="fixed"/>
        <w:tblLook w:firstColumn="1" w:firstRow="1" w:lastColumn="0" w:lastRow="0" w:noHBand="0" w:noVBand="1" w:val="04A0"/>
      </w:tblPr>
      <w:tblGrid>
        <w:gridCol w:w="6048"/>
        <w:gridCol w:w="3312"/>
      </w:tblGrid>
      <w:tr>
        <w:trPr>
          <w:tblHeade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Setting</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Value</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Training / validation trajectories</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128 / 24</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 / shifted-coefficient test trajectories</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64 / 64</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Retained transitions / burn-in transitions</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160 / 24</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Context length</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4 states and 4 actions</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Training updates / probe budget</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4,000 / 300</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Clean batch / auxiliary batch</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32 / 32</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Augmentation-bank windows</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4,096</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Physical-loss weight / perturbation scale</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0.1 / 0.05</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Width / nominal depth</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64 / 3</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Transformer heads / feedforward width</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4 / 128</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FNO retained real-FFT modes</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8 including zero</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Optimizer / learning rate</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AdamW / 0.0003</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Weight decay / gradient-norm limit</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0.0001 / 1</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Validation interval / rollout horizon</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100 updates / 16 steps</w:t>
            </w:r>
          </w:p>
        </w:tc>
      </w:tr>
      <w:tr>
        <w:trPr>
          <w:cantSplit/>
        </w:trPr>
        <w:tc>
          <w:tcPr>
            <w:tcW w:type="dxa" w:w="60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Primary / secondary test horizon</w:t>
            </w:r>
          </w:p>
        </w:tc>
        <w:tc>
          <w:tcPr>
            <w:tcW w:type="dxa" w:w="33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64 / 96 steps</w:t>
            </w:r>
          </w:p>
        </w:tc>
      </w:tr>
    </w:tbl>
    <w:p>
      <w:pPr>
        <w:spacing w:after="20"/>
      </w:pPr>
    </w:p>
    <w:p>
      <w:r>
        <w:t>Each optimizer update samples clean windows uniformly with replacement from training trajectories and valid start positions. An augmented arm also samples 32 windows from its fixed 4,096-window bank. This adds a neural forward pass and an auxiliary error term weighted by 0.1. Physical labels are precomputed and detached. AdamW uses learning rate 0.0003 and weight decay 0.0001; the gradient Euclidean norm is clipped at 1. Successful candidates complete all 4,000 updates. There is no learning-rate schedule.</w:t>
      </w:r>
    </w:p>
    <w:p>
      <w:r>
        <w:t>Validation begins at update zero and repeats every 100 updates using 16-step rollouts from the first four states of all 24 validation trajectories. The lowest validation error seen within the training budget determines the primary test checkpoint. The short probe is the lowest validation error seen through update 300. Candidate continuation resumes from the current update-300 checkpoint, retaining optimizer and random-number-generator state. The final update-4,000 weights are also evaluated as an additional checkpoint sensitivity.</w:t>
      </w:r>
    </w:p>
    <w:p>
      <w:r>
        <w:t>The development model seeds are 101, 202, 303, 404, 505, and 606. Resolution seeds are 7101, 7202, 7303, and 7404. New-selector seeds are 8101, 8202, 8303, 8404, 8505, and 8606. Development training/validation and test generator seeds are 26091211 and 26091297. Follow-up generator seeds are 26100931 and 26110937. The included source specifies the deterministic construction of per-equation and per-split generator states from these values.</w:t>
      </w:r>
    </w:p>
    <w:p>
      <w:pPr>
        <w:pStyle w:val="Heading1"/>
      </w:pPr>
      <w:r>
        <w:t>S3 Perturbation and selection details</w:t>
      </w:r>
    </w:p>
    <w:p>
      <w:r>
        <w:t>The independent perturbation is 0.05 times the training state scale multiplied by standard normal noise sampled independently over windows, history positions, channels, and grid points. The smooth arm filters the paired noise to Fourier indices 1–3 and rescales each window–history-position–channel vector to the exact spatial RMS of its independent counterpart. The same clean contexts and paired noise are used for the augmented arms. Banks are shared across architectures within an equation–prior–seed configuration.</w:t>
      </w:r>
    </w:p>
    <w:p>
      <w:r>
        <w:t>For response matching, one amplitude multiplier scales the complete independent-noise history in each sampled window. The multiplier is chosen by measuring the normalized one-step physical response of the final state. The solver starts with an amplitude bracket [0, 1], permits five doublings of the upper endpoint, and uses 23 bisection iterations. The configured agreement tolerance has relative component 0.002 and absolute component 0.000002. Across the recorded banks, the largest observed relative matching error is below 9.3 × 10⁻⁶. The numerical match concerns the scalar response magnitude defined in the main text.</w:t>
      </w:r>
    </w:p>
    <w:p>
      <w:r>
        <w:t>Six continuous diagnostics enter the selector. Physical-target discrepancy is the square root of the ratio between the summed squared standardized physical-target error and the summed squared standardized observed state increment. Two response gains divide the squared physical response to independent or smooth perturbations by the corresponding squared input perturbation, followed by a square root. Two spectral features are the fractions of standardized training-state Fourier energy in modes 1–3 and in modes 4 and above. The remaining feature is the RMS standardized observed state increment. Spectral energy uses the real-FFT Parseval weights, with unit weight at zero and Nyquist modes and weight two elsewhere.</w:t>
      </w:r>
    </w:p>
    <w:p>
      <w:r>
        <w:t>For each augmented arm, the 34-dimensional ridge input contains those six diagnostics, three architecture indicators, three arm indicators, the log probe-loss ratio to no augmentation, 18 diagnostic-by-arm interactions, and three probe-ratio-by-arm interactions. The target is the log ratio of final best-validation loss to the corresponding unaugmented value. Losses are floored at 10⁻¹² and capped at 10⁶ for fitting; nonfinite values receive the cap. Standardization is fitted within each development fold. Equations receive equal total weight, and the intercept is unpenalized.</w:t>
      </w:r>
    </w:p>
    <w:p>
      <w:r>
        <w:t>The guarded rule considers ridge penalties 0.1, 1, 10, and 100 through leave-one-equation-out development evaluation. In each evaluation fold it fits the remaining equations jointly and fits additional models omitting each of those remaining equations. An augmented candidate must have a negative largest predicted log ratio and a lower observed probe loss than no augmentation. The eligible candidate with the smallest largest prediction is chosen. Otherwise the rule chooses no augmentation. The mean held-out-equation validation log ratio determines the penalty, which is 1 for the frozen follow-up model. The final rule uses a fit to all six development equations plus six omission fits.</w:t>
      </w:r>
    </w:p>
    <w:p>
      <w:r>
        <w:t>The original ridge baseline has its own historical decision rule and penalty selection. Its archived implementation requires a predicted improvement of at least 5% before selecting an augmented arm. That threshold is part of a comparator's decision procedure. The new guard has a zero predicted-log-ratio boundary, and the manuscript's evidence assessment has no minimum improvement requirement.</w:t>
      </w:r>
    </w:p>
    <w:p>
      <w:pPr>
        <w:pStyle w:val="Heading2"/>
      </w:pPr>
      <w:r>
        <w:t>S3.1 Augmentation effects and resampling</w:t>
      </w:r>
    </w:p>
    <w:p>
      <w:r>
        <w:t xml:space="preserve">For trajectory j and forecast step h, let û denote the predicted state, u the reference state, C the number of state channels, and N the number of spatial cells. The training standard deviation of channel c is </w:t>
      </w:r>
      <w:r>
        <w:t>s</w:t>
      </w:r>
      <w:r>
        <w:rPr>
          <w:vertAlign w:val="subscript"/>
        </w:rPr>
        <w:t>c</w:t>
      </w:r>
      <w:r>
        <w:t>. The normalized step error is</w:t>
      </w:r>
    </w:p>
    <w:p>
      <w:pPr>
        <w:keepLines/>
        <w:spacing w:after="100" w:before="40"/>
        <w:jc w:val="center"/>
      </w:pPr>
      <m:oMath>
        <m:sSub>
          <m:e>
            <m:r>
              <w:rPr>
                <w:rFonts w:ascii="Cambria Math" w:hAnsi="Cambria Math"/>
                <w:sz w:val="23"/>
              </w:rPr>
              <m:rPr>
                <m:sty m:val="p"/>
              </m:rPr>
              <m:t xml:space="preserve">e</m:t>
            </m:r>
          </m:e>
          <m:sub>
            <m:r>
              <w:rPr>
                <w:rFonts w:ascii="Cambria Math" w:hAnsi="Cambria Math"/>
                <w:sz w:val="23"/>
              </w:rPr>
              <m:rPr>
                <m:sty m:val="p"/>
              </m:rPr>
              <m:t xml:space="preserve">jh</m:t>
            </m:r>
          </m:sub>
        </m:sSub>
        <m:r>
          <w:rPr>
            <w:rFonts w:ascii="Cambria Math" w:hAnsi="Cambria Math"/>
            <w:sz w:val="23"/>
          </w:rPr>
          <m:rPr>
            <m:sty m:val="p"/>
          </m:rPr>
          <m:t xml:space="preserve"> = </m:t>
        </m:r>
        <m:f>
          <m:num>
            <m:r>
              <w:rPr>
                <w:rFonts w:ascii="Cambria Math" w:hAnsi="Cambria Math"/>
                <w:sz w:val="23"/>
              </w:rPr>
              <m:rPr>
                <m:sty m:val="p"/>
              </m:rPr>
              <m:t xml:space="preserve">1</m:t>
            </m:r>
          </m:num>
          <m:den>
            <m:r>
              <w:rPr>
                <w:rFonts w:ascii="Cambria Math" w:hAnsi="Cambria Math"/>
                <w:sz w:val="23"/>
              </w:rPr>
              <m:rPr>
                <m:sty m:val="p"/>
              </m:rPr>
              <m:t xml:space="preserve">CN</m:t>
            </m:r>
          </m:den>
        </m:f>
        <m:nary>
          <m:naryPr>
            <m:chr m:val="∑"/>
            <m:limLoc m:val="subSup"/>
          </m:naryPr>
          <m:sub>
            <m:r>
              <w:rPr>
                <w:rFonts w:ascii="Cambria Math" w:hAnsi="Cambria Math"/>
                <w:sz w:val="23"/>
              </w:rPr>
              <m:rPr>
                <m:sty m:val="p"/>
              </m:rPr>
              <m:t xml:space="preserve">c = 1</m:t>
            </m:r>
          </m:sub>
          <m:sup>
            <m:r>
              <w:rPr>
                <w:rFonts w:ascii="Cambria Math" w:hAnsi="Cambria Math"/>
                <w:sz w:val="23"/>
              </w:rPr>
              <m:rPr>
                <m:sty m:val="p"/>
              </m:rPr>
              <m:t xml:space="preserve">C</m:t>
            </m:r>
          </m:sup>
          <m:e>
            <m:nary>
              <m:naryPr>
                <m:chr m:val="∑"/>
                <m:limLoc m:val="subSup"/>
              </m:naryPr>
              <m:sub>
                <m:r>
                  <w:rPr>
                    <w:rFonts w:ascii="Cambria Math" w:hAnsi="Cambria Math"/>
                    <w:sz w:val="23"/>
                  </w:rPr>
                  <m:rPr>
                    <m:sty m:val="p"/>
                  </m:rPr>
                  <m:t xml:space="preserve">i = 1</m:t>
                </m:r>
              </m:sub>
              <m:sup>
                <m:r>
                  <w:rPr>
                    <w:rFonts w:ascii="Cambria Math" w:hAnsi="Cambria Math"/>
                    <w:sz w:val="23"/>
                  </w:rPr>
                  <m:rPr>
                    <m:sty m:val="p"/>
                  </m:rPr>
                  <m:t xml:space="preserve">N</m:t>
                </m:r>
              </m:sup>
              <m:e>
                <m:sSup>
                  <m:e>
                    <m:r>
                      <w:rPr>
                        <w:rFonts w:ascii="Cambria Math" w:hAnsi="Cambria Math"/>
                        <w:sz w:val="23"/>
                      </w:rPr>
                      <m:rPr>
                        <m:sty m:val="p"/>
                      </m:rPr>
                      <m:t xml:space="preserve">[</m:t>
                    </m:r>
                    <m:f>
                      <m:num>
                        <m:sSub>
                          <m:e>
                            <m:acc>
                              <m:accPr>
                                <m:chr m:val="̂"/>
                              </m:accPr>
                              <m:e>
                                <m:r>
                                  <w:rPr>
                                    <w:rFonts w:ascii="Cambria Math" w:hAnsi="Cambria Math"/>
                                    <w:sz w:val="23"/>
                                  </w:rPr>
                                  <m:rPr>
                                    <m:sty m:val="p"/>
                                  </m:rPr>
                                  <m:t xml:space="preserve">u</m:t>
                                </m:r>
                              </m:e>
                            </m:acc>
                          </m:e>
                          <m:sub>
                            <m:r>
                              <w:rPr>
                                <w:rFonts w:ascii="Cambria Math" w:hAnsi="Cambria Math"/>
                                <w:sz w:val="23"/>
                              </w:rPr>
                              <m:rPr>
                                <m:sty m:val="p"/>
                              </m:rPr>
                              <m:t xml:space="preserve">jhci</m:t>
                            </m:r>
                          </m:sub>
                        </m:sSub>
                        <m:r>
                          <w:rPr>
                            <w:rFonts w:ascii="Cambria Math" w:hAnsi="Cambria Math"/>
                            <w:sz w:val="23"/>
                          </w:rPr>
                          <m:rPr>
                            <m:sty m:val="p"/>
                          </m:rPr>
                          <m:t xml:space="preserve"> − </m:t>
                        </m:r>
                        <m:sSub>
                          <m:e>
                            <m:r>
                              <w:rPr>
                                <w:rFonts w:ascii="Cambria Math" w:hAnsi="Cambria Math"/>
                                <w:sz w:val="23"/>
                              </w:rPr>
                              <m:rPr>
                                <m:sty m:val="p"/>
                              </m:rPr>
                              <m:t xml:space="preserve">u</m:t>
                            </m:r>
                          </m:e>
                          <m:sub>
                            <m:r>
                              <w:rPr>
                                <w:rFonts w:ascii="Cambria Math" w:hAnsi="Cambria Math"/>
                                <w:sz w:val="23"/>
                              </w:rPr>
                              <m:rPr>
                                <m:sty m:val="p"/>
                              </m:rPr>
                              <m:t xml:space="preserve">jhci</m:t>
                            </m:r>
                          </m:sub>
                        </m:sSub>
                      </m:num>
                      <m:den>
                        <m:sSub>
                          <m:e>
                            <m:r>
                              <w:rPr>
                                <w:rFonts w:ascii="Cambria Math" w:hAnsi="Cambria Math"/>
                                <w:sz w:val="23"/>
                              </w:rPr>
                              <m:rPr>
                                <m:sty m:val="p"/>
                              </m:rPr>
                              <m:t xml:space="preserve">s</m:t>
                            </m:r>
                          </m:e>
                          <m:sub>
                            <m:r>
                              <w:rPr>
                                <w:rFonts w:ascii="Cambria Math" w:hAnsi="Cambria Math"/>
                                <w:sz w:val="23"/>
                              </w:rPr>
                              <m:rPr>
                                <m:sty m:val="p"/>
                              </m:rPr>
                              <m:t xml:space="preserve">c</m:t>
                            </m:r>
                          </m:sub>
                        </m:sSub>
                      </m:den>
                    </m:f>
                    <m:r>
                      <w:rPr>
                        <w:rFonts w:ascii="Cambria Math" w:hAnsi="Cambria Math"/>
                        <w:sz w:val="23"/>
                      </w:rPr>
                      <m:rPr>
                        <m:sty m:val="p"/>
                      </m:rPr>
                      <m:t xml:space="preserve">]</m:t>
                    </m:r>
                  </m:e>
                  <m:sup>
                    <m:r>
                      <w:rPr>
                        <w:rFonts w:ascii="Cambria Math" w:hAnsi="Cambria Math"/>
                        <w:sz w:val="23"/>
                      </w:rPr>
                      <m:rPr>
                        <m:sty m:val="p"/>
                      </m:rPr>
                      <m:t xml:space="preserve">2</m:t>
                    </m:r>
                  </m:sup>
                </m:sSup>
              </m:e>
            </m:nary>
          </m:e>
        </m:nary>
      </m:oMath>
      <w:r>
        <w:rPr>
          <w:sz w:val="20"/>
        </w:rPr>
        <w:t xml:space="preserve">   (S9)</w:t>
      </w:r>
    </w:p>
    <w:p>
      <w:r>
        <w:t>A trajectory's primary error is the arithmetic mean of its first 64 step errors. For each fixed equation, architecture, prior, and seed, the mean of these trajectory errors is calculated separately for the candidate and baseline. Their ratio is formed within that paired configuration. Log ratios are averaged with equal seed and fixed-stratum weights within an equation, then with equal equation weights for pooled selector comparisons. Exponentiation gives the error ratio reported in the paper. Averaging errors over the trajectory precedes forming that ratio.</w:t>
      </w:r>
    </w:p>
    <w:p>
      <w:r>
        <w:t>The original augmentation uncertainty estimator uses paired training seeds and complete trajectories. Development mechanism intervals retain their original 24-comparison Bonferroni adjustment. Follow-up intervals remain pointwise 95%; the Holm adjustment is applied to the p-values in the stated test families. The centered bootstrap calculation uses the proportion of replicates whose absolute deviation from the observed log ratio is at least the absolute observed log ratio, with one added to numerator and denominator. This is an approximate bootstrap test. The bootstrap keeps the generated training data and fitted selection rule fixed.</w:t>
      </w:r>
    </w:p>
    <w:p>
      <w:pPr>
        <w:pStyle w:val="Heading1"/>
      </w:pPr>
      <w:r>
        <w:t>S4 Additional results and numerical behavior</w:t>
      </w:r>
    </w:p>
    <w:p>
      <w:r>
        <w:t>Table S3 gives all 24 original mechanism comparisons. Positive reductions favor smooth augmentation. Their uncertainty remains the original Bonferroni-adjusted bootstrap uncertainty; the original software's aggregate color labels are omitted from the manuscript. Each comparison can be interpreted from its effect size, interval, and stated baseline.</w:t>
      </w:r>
    </w:p>
    <w:p>
      <w:pPr>
        <w:pStyle w:val="Caption"/>
        <w:keepNext/>
      </w:pPr>
      <w:r>
        <w:t>Table S3. Full development mechanism contrasts. The candidate is smooth augmentation throughout. The interval for each percentage reduction is Bonferroni-adjusted across all 24 contrasts (99.792% per comparison).</w:t>
      </w:r>
    </w:p>
    <w:tbl>
      <w:tblPr>
        <w:tblW w:type="auto" w:w="0"/>
        <w:jc w:val="center"/>
        <w:tblLayout w:type="fixed"/>
        <w:tblLook w:firstColumn="1" w:firstRow="1" w:lastColumn="0" w:lastRow="0" w:noHBand="0" w:noVBand="1" w:val="04A0"/>
      </w:tblPr>
      <w:tblGrid>
        <w:gridCol w:w="2088"/>
        <w:gridCol w:w="1584"/>
        <w:gridCol w:w="1656"/>
        <w:gridCol w:w="1224"/>
        <w:gridCol w:w="2952"/>
      </w:tblGrid>
      <w:tr>
        <w:trPr>
          <w:tblHeade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Prior</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Baseline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Reduction (%)</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Adjusted CI (%)</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92.1</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[88.6, 95.1]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56.9</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[46.7, 67.9]</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37.4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[29.7, 44.6]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-217.5</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[-343.4, -117.2]</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15.4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[-1.1, 31.4]</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 52.1]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35.4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[10.7, 52.5]</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3.5</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[-29.1, 26.7]</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-13.3</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[-50.5, 17.6]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-14.8</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[-57.5, 23.6]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24.6</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[0.4, 41.3]</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-8.7</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[-59.2, 30.9]</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[-88.2, 33.2]</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5.2</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[-106.5, 38.5]</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[10.4, 50.6]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-373.7</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[-942.3, -201.8]</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13.6</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[-23.9, 50.6]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-11.0</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[-63.4, 20.4]</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75.3</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[59.9, 86.9]</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75.4</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[58.8, 85.4]</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Independent</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6.0</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[-14.4, 21.6]</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Response matched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12.7</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[-2.2, 24.0]</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[-18.9, 16.0]</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-194.2</w:t>
            </w:r>
          </w:p>
        </w:tc>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[-288.4, -129.8]</w:t>
            </w:r>
          </w:p>
        </w:tc>
      </w:tr>
    </w:tbl>
    <w:p>
      <w:pPr>
        <w:spacing w:after="20"/>
      </w:pPr>
    </w:p>
    <w:p>
      <w:r>
        <w:t>Table S4 separates the primary selector comparisons by target equation and physical-prior regime. These breakdowns use descriptive pointwise intervals and have no additional confirmatory multiplicity adjustment. The structural-prior comparison with no augmentation equals zero because the guard selects that same arm for every structural-prior task.</w:t>
      </w:r>
    </w:p>
    <w:p>
      <w:pPr>
        <w:pStyle w:val="Caption"/>
        <w:keepNext/>
      </w:pPr>
      <w:r>
        <w:t>Table S4. Descriptive selector breakdowns by equation and prior. Each row is a subset of the primary target experiment. Intervals are pointwise 95%.</w:t>
      </w:r>
    </w:p>
    <w:tbl>
      <w:tblPr>
        <w:tblW w:type="auto" w:w="0"/>
        <w:jc w:val="center"/>
        <w:tblLayout w:type="fixed"/>
        <w:tblLook w:firstColumn="1" w:firstRow="1" w:lastColumn="0" w:lastRow="0" w:noHBand="0" w:noVBand="1" w:val="04A0"/>
      </w:tblPr>
      <w:tblGrid>
        <w:gridCol w:w="2592"/>
        <w:gridCol w:w="2592"/>
        <w:gridCol w:w="1440"/>
        <w:gridCol w:w="2880"/>
      </w:tblGrid>
      <w:tr>
        <w:trPr>
          <w:tblHeade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Subset</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Baseline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Reduction (%)</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95% CI (%)</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[-8.8, 13.8]</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[-5.8, 10.1]</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33.2</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[27.2, 39.8]</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1.9</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[-6.3, 10.7]</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9.1</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[-7.1, 23.1]</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-2.4</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[-10.4, 4.8]</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 0.0]</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[-12.3, 5.8]</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28.5</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[20.2, 34.5]</w:t>
            </w:r>
          </w:p>
        </w:tc>
      </w:tr>
      <w:tr>
        <w:trPr>
          <w:cantSplit/>
        </w:trPr>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259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44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28.1</w:t>
            </w:r>
          </w:p>
        </w:tc>
        <w:tc>
          <w:tcPr>
            <w:tcW w:type="dxa" w:w="28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[13.6, 41.1]</w:t>
            </w:r>
          </w:p>
        </w:tc>
      </w:tr>
    </w:tbl>
    <w:p>
      <w:pPr>
        <w:spacing w:after="20"/>
      </w:pPr>
    </w:p>
    <w:p>
      <w:r>
        <w:t>Table S5 lists the additional 96-step and shifted-coefficient point estimates. The original protocol treats them as descriptive sensitivities. The shift moves all three physical coefficients to 1.30–1.50 times their centers; it is one specified joint shift.</w:t>
      </w:r>
    </w:p>
    <w:p>
      <w:pPr>
        <w:pStyle w:val="Caption"/>
        <w:keepNext/>
      </w:pPr>
      <w:r>
        <w:t>Table S5. Descriptive secondary selector results. Ratios compare guarded-selector error with baseline error. These point estimates have no confirmatory test label.</w:t>
      </w:r>
    </w:p>
    <w:tbl>
      <w:tblPr>
        <w:tblW w:type="auto" w:w="0"/>
        <w:jc w:val="center"/>
        <w:tblLayout w:type="fixed"/>
        <w:tblLook w:firstColumn="1" w:firstRow="1" w:lastColumn="0" w:lastRow="0" w:noHBand="0" w:noVBand="1" w:val="04A0"/>
      </w:tblPr>
      <w:tblGrid>
        <w:gridCol w:w="1872"/>
        <w:gridCol w:w="936"/>
        <w:gridCol w:w="3672"/>
        <w:gridCol w:w="1224"/>
        <w:gridCol w:w="1512"/>
      </w:tblGrid>
      <w:tr>
        <w:trPr>
          <w:tblHeade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Test 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Horizon</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Baseline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MSE ratio</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Reduction (%)</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96</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0.994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0.6</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96</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0.789</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21.1</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96</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Fixed development choice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0.878</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12.2</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96</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Original ridge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0.982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In-distribution</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96</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Smooth</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0.487</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51.3</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Coefficient shift</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1.18</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-18.1</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Coefficient shift</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0.792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20.8</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Coefficient shift</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Fixed development choice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1.21</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-20.7</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Coefficient shift</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Original ridge</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0.99</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w:t>
            </w:r>
          </w:p>
        </w:tc>
      </w:tr>
      <w:tr>
        <w:trPr>
          <w:cantSplit/>
        </w:trPr>
        <w:tc>
          <w:tcPr>
            <w:tcW w:type="dxa" w:w="18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Coefficient shift</w:t>
            </w:r>
          </w:p>
        </w:tc>
        <w:tc>
          <w:tcPr>
            <w:tcW w:type="dxa" w:w="9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367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Smooth</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1.03</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-2.7</w:t>
            </w:r>
          </w:p>
        </w:tc>
      </w:tr>
    </w:tbl>
    <w:p>
      <w:pPr>
        <w:spacing w:after="20"/>
      </w:pPr>
    </w:p>
    <w:p>
      <w:r>
        <w:t>For all 1,584 fits, the validation-selected prediction arrays are finite and below the upper error cap over their first 64 forecast steps in both test distributions. Their trajectory means also exceed the logarithmic lower floor. The minimum primary trajectory mean across the study is approximately 2.59 × 10⁻⁶ in-distribution and 4.77 × 10⁻⁵ under coefficient shift. Neither the upper cap nor the lower floor changes the primary neural comparisons.</w:t>
      </w:r>
    </w:p>
    <w:p>
      <w:r>
        <w:t>At the validation-best checkpoint, 24 in-distribution step-error cells exceed 10⁶ between steps 65 and 96 in two unselected FitzHugh–Nagumo Fourier candidates with structural priors and independent noise. The 96-step coefficient-shift arrays have 896 such cells across three unselected structural-prior Fourier candidates. Every selected policy's 96-step curve remains finite and below the cap. Separately archived final-update checkpoint arrays include 307 nonfinite coefficient-shift cells in the development stage and 96 in the selector follow-up. These final-update predictions are distinct from the validation-selected predictions used for the primary results.</w:t>
      </w:r>
    </w:p>
    <w:p>
      <w:r>
        <w:t>The development report averages step errors within a trajectory before applying its cap. The follow-up applies the step cap before averaging, then applies a floor and cap to the trajectory means used in log ratios. The cap is 10⁶ in both stages. The absence of active clipping in the primary arrays makes this implementation difference immaterial to the primary results. A failed training candidate or divergent rollout remains in scoring under the specified protective rule.</w:t>
      </w:r>
    </w:p>
    <w:p>
      <w:r>
        <w:t>The archive also contains persistence and physical-operator forecast errors. The calibration extension uses these records in the direct model-choice comparison described in Supplementary Section S6. The current CPU benchmark measures the implemented forward operations; a numerical-solver optimization or tolerance sweep remains outside the study.</w:t>
      </w:r>
    </w:p>
    <w:p>
      <w:pPr>
        <w:pStyle w:val="Heading1"/>
      </w:pPr>
      <w:r>
        <w:t>S5 Computation and reproducibility</w:t>
      </w:r>
    </w:p>
    <w:p>
      <w:r>
        <w:t>Table S6 gives the target-route times reconstructed from the recorded components. Probe-based routes pay for four startup/probe computations and continuation of the selected candidate, including the shared augmentation-bank work. Fixed unaugmented training pays for its fit and setup. A fixed augmented arm also pays for the implemented augmentation-bank construction. The selected probe's training is reused during continuation.</w:t>
      </w:r>
    </w:p>
    <w:p>
      <w:pPr>
        <w:pStyle w:val="Caption"/>
        <w:keepNext/>
      </w:pPr>
      <w:r>
        <w:t>Table S6. Reconstructed target-route costs in seconds. Historical development, selector fitting, and common test evaluation are excluded.</w:t>
      </w:r>
    </w:p>
    <w:tbl>
      <w:tblPr>
        <w:tblW w:type="auto" w:w="0"/>
        <w:jc w:val="center"/>
        <w:tblLayout w:type="fixed"/>
        <w:tblLook w:firstColumn="1" w:firstRow="1" w:lastColumn="0" w:lastRow="0" w:noHBand="0" w:noVBand="1" w:val="04A0"/>
      </w:tblPr>
      <w:tblGrid>
        <w:gridCol w:w="5184"/>
        <w:gridCol w:w="2160"/>
        <w:gridCol w:w="2160"/>
      </w:tblGrid>
      <w:tr>
        <w:trPr>
          <w:tblHeade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Policy</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Mean seconds</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Median seconds</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No augmentation</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36.1</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39.6</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Smooth</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65.9</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73.9</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Best short probe</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70.8</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63.9</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Fixed development choice</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47.5</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43.3</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Original ridge</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65.8</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61.3</w:t>
            </w:r>
          </w:p>
        </w:tc>
      </w:tr>
      <w:tr>
        <w:trPr>
          <w:cantSplit/>
        </w:trPr>
        <w:tc>
          <w:tcPr>
            <w:tcW w:type="dxa" w:w="51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Guarded</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64.7</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59.9</w:t>
            </w:r>
          </w:p>
        </w:tc>
      </w:tr>
    </w:tbl>
    <w:p>
      <w:pPr>
        <w:spacing w:after="20"/>
      </w:pPr>
    </w:p>
    <w:p>
      <w:r>
        <w:t>These target-route estimates exclude acquisition of the earlier development bank, the 0.90-second selector fit, and common test evaluation. The full experiment trained all candidates to measure the available choices. It therefore incurred the entire bank cost. Development wall time was approximately 13.7 hours. The follow-up used about 39,800 seconds of wall time, including 38,200 seconds of training and validation, 29.9 seconds of CPU reference generation, 14.6 seconds of CPU numerical audits, and 1,080 seconds of model evaluation. Component timers include host overhead and have the scope defined by the source routines.</w:t>
      </w:r>
    </w:p>
    <w:p>
      <w:r>
        <w:t>The reproducibility release separates the original development source from the follow-up source and preserves both result archives. Source and data hashes link the candidate records to their configurations. The filtered development bank used by the guard is included with its provenance and allowed fields. Frozen target choices can be replayed from that bank and the saved target probes. Exact floating-point coefficients may differ slightly across NumPy and BLAS versions; the selected rule and choices reproduced in the packaging check.</w:t>
      </w:r>
    </w:p>
    <w:p>
      <w:r>
        <w:t>The release includes complete configurations, seeds, per-step evaluation arrays, records, and statistical code. The original sharing archives exclude training trajectory caches, augmentation-array caches, and model weights. Fresh training regenerates those caches and checkpoints. The report and selection replays operate on saved evidence and require no neural retraining. A changed hardware or software environment can produce different newly trained weights despite deterministic settings.</w:t>
      </w:r>
    </w:p>
    <w:p>
      <w:pPr>
        <w:pStyle w:val="Heading1"/>
      </w:pPr>
      <w:r>
        <w:t>S6 Calibrated physical forecasts</w:t>
      </w:r>
    </w:p>
    <w:p>
      <w:r>
        <w:t>The calibration extension contains 12 development settings, six resolution settings at each grid, and six settings from the selector follow-up. These are distinct combinations of stage, equation, grid, and physical information. Each uses the original 128 training and 24 validation trajectories. A setting has one shared three-coordinate correction. The correction is reused across neural training seeds and across both test distributions.</w:t>
      </w:r>
    </w:p>
    <w:p>
      <w:r>
        <w:t>The permitted fitting object contains states, actions, and supplied coefficients. The original coefficient field is removed before the fitting function is called. For coefficient-error cases, the supplied vector is computed once in float32 by multiplying the original values by (0.70, 1.30, 1.40). The physical step receives that supplied vector multiplied once by the fitted correction. Initial optimizer guesses are generic. The inverse of the imposed bias is used only when interpreting the fitted values after evaluation.</w:t>
      </w:r>
    </w:p>
    <w:p>
      <w:r>
        <w:t>Each full fit uses every training trajectory and two window starts. The first start is state index 3, the last observed context state. The second is the latest start that permits the specified one- or four-step fitting horizon. Residuals contain each predicted state error divided by the training channel scale. They are flattened and divided by the square root of their count, so the squared residual norm is the mean normalized forecast error. The log-coordinate least-squares objective is fitted separately for each horizon and each of the three declared starts.</w:t>
      </w:r>
    </w:p>
    <w:p>
      <w:r>
        <w:t>SciPy's trust-region reflective method uses a three-point finite-difference Jacobian, maximum objective-evaluation count 60, and function, step, and gradient tolerances 10⁻⁸. These tolerances concern optimizer termination. They are unrelated to statistical effect sizes. The original fourfold multiplier range was expanded to 0.001–1000 after a diagnostic structural fit reached the lower bound. Both the pilot and full profiles use this expanded range. Every candidate, failed trial, residual-call count, Jacobian rank, condition number, and termination message is retained in its calibration record.</w:t>
      </w:r>
    </w:p>
    <w:p>
      <w:r>
        <w:t>An unchanged solver is an explicit candidate. Each fitted candidate is recursively evaluated from observed state index 3 over 16 validation steps using float32 state representation. Each trajectory's validation error is capped at 10⁶ before averaging across the 24 trajectories, matching the neural validation convention. Finite candidates that exhaust their optimization budget remain eligible for validation selection. The minimum validation error selects the final coefficients; exact ties use identity first and then the declared fit order.</w:t>
      </w:r>
    </w:p>
    <w:p>
      <w:r>
        <w:t>All full-profile selected physical candidates have finite multipliers and no boundary hit. The maximum relative difference between the fitted biased-coefficient corrections and their exact inverse factors is about 0.0022%. This calculation describes the known synthetic coefficient construction. It is independent of the optimization inputs. The missing-term Cahn–Hilliard setting selects identity. FitzHugh–Nagumo selects multipliers approximately (1.73, 0.966, 1.33), which modify its retained dynamics and preserve the omitted term.</w:t>
      </w:r>
    </w:p>
    <w:p>
      <w:pPr>
        <w:pStyle w:val="Caption"/>
        <w:keepNext/>
      </w:pPr>
      <w:r>
        <w:t>Table S7. Selected physical corrections in all 30 settings. Multipliers are rounded to three significant figures for reading; exact values and every fitted candidate are preserved in the result files.</w:t>
      </w:r>
    </w:p>
    <w:tbl>
      <w:tblPr>
        <w:tblW w:type="auto" w:w="0"/>
        <w:jc w:val="center"/>
        <w:tblLayout w:type="fixed"/>
        <w:tblLook w:firstColumn="1" w:firstRow="1" w:lastColumn="0" w:lastRow="0" w:noHBand="0" w:noVBand="1" w:val="04A0"/>
      </w:tblPr>
      <w:tblGrid>
        <w:gridCol w:w="2160"/>
        <w:gridCol w:w="1728"/>
        <w:gridCol w:w="1512"/>
        <w:gridCol w:w="2448"/>
        <w:gridCol w:w="1656"/>
      </w:tblGrid>
      <w:tr>
        <w:trPr>
          <w:tblHeade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Stage and grid</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Prior</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Selected multipliers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Validation NMSE</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4.84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5.02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1.58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1.6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1.05 × 10⁻¹¹</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7.4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1.05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1.01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3.31 × 10⁻⁹</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3.31 × 10⁻⁹</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6.89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6.95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4.77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4.96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2.07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2.06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7.46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7.48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2.68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2.67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1.97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1.9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7.46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7.5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1.19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1.15 × 10⁻¹³</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0.00411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1.43, 0.769, 0.714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2.93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1, 1, 1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 × 10⁻¹²</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51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1.73, 0.966, 1.33</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0.053</w:t>
            </w:r>
          </w:p>
        </w:tc>
      </w:tr>
    </w:tbl>
    <w:p>
      <w:pPr>
        <w:spacing w:after="20"/>
      </w:pPr>
    </w:p>
    <w:p>
      <w:pPr>
        <w:pStyle w:val="Heading1"/>
      </w:pPr>
      <w:r>
        <w:t>S7 Forecast selection absolute errors and uncertainty</w:t>
      </w:r>
    </w:p>
    <w:p>
      <w:r>
        <w:t>For each neural seed, the direct selector reads the archived best-checkpoint validation loss for every architecture and augmentation option available in that setting. It chooses the minimum, using architecture and arm names for an exact tie. The neural score is compared with unchanged and calibrated physics using their matching 16-step validation forecasts. Cross-class ties prefer unchanged physics, calibrated physics, and then the neural candidate. Only validation errors enter this rule.</w:t>
      </w:r>
    </w:p>
    <w:p>
      <w:r>
        <w:t>The frozen choices are hashed together with the calibration files before test access. The analysis rechecks those links and reconstructs the choices from the stored validation scores. It verifies the exact required counts of 64 trajectories in each scientific test distribution. A modified calibration, changed frozen choice, inconsistent hash, or truncated evaluation array is withheld from the affected comparison. Execution completion and scientific interpretation are separate report fields.</w:t>
      </w:r>
    </w:p>
    <w:p>
      <w:pPr>
        <w:pStyle w:val="Caption"/>
        <w:keepNext/>
      </w:pPr>
      <w:r>
        <w:t>Table S8. Validation-selected forecasting classes by setting. Counts are seed-specific decisions sharing the same physical fit and data. Every selected neural model is an unaugmented Fourier operator in the omitted-term settings.</w:t>
      </w:r>
    </w:p>
    <w:tbl>
      <w:tblPr>
        <w:tblW w:type="auto" w:w="0"/>
        <w:jc w:val="center"/>
        <w:tblLayout w:type="fixed"/>
        <w:tblLook w:firstColumn="1" w:firstRow="1" w:lastColumn="0" w:lastRow="0" w:noHBand="0" w:noVBand="1" w:val="04A0"/>
      </w:tblPr>
      <w:tblGrid>
        <w:gridCol w:w="2160"/>
        <w:gridCol w:w="1728"/>
        <w:gridCol w:w="1656"/>
        <w:gridCol w:w="1368"/>
        <w:gridCol w:w="1368"/>
        <w:gridCol w:w="1224"/>
      </w:tblGrid>
      <w:tr>
        <w:trPr>
          <w:tblHeade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Stage and grid</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Prior</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Uncalibrated</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Calibrated</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Neural</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Dev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32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Follow-up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New equations 64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w:t>
            </w:r>
          </w:p>
        </w:tc>
      </w:tr>
    </w:tbl>
    <w:p>
      <w:pPr>
        <w:spacing w:after="20"/>
      </w:pPr>
    </w:p>
    <w:p>
      <w:r>
        <w:t>The primary absolute score is the arithmetic mean of the normalized trajectory errors and, for neural candidates, their paired training seeds. The selected neural score can combine different arms across seeds. The calibrated physical score has one fitted coefficient vector; repeating it alongside several neural seeds does not create additional independent physical fits. Comparisons are made within a setting, distribution, and forecast horizon. The primary table uses one representative setting per physical family, preferring the available 64-cell follow-up.</w:t>
      </w:r>
    </w:p>
    <w:p>
      <w:r>
        <w:t>The extension uses 5,000 paired bootstrap replicates. Each replicate resamples complete test trajectories and neural training seeds, preserving the shared trajectory indices across all compared methods. Physics has a single fitted row and is resampled only over trajectories. The model-choice rule and calibration are held fixed. Absolute-error intervals, error-difference intervals, and percentage reductions are pointwise exploratory intervals. No multiplicity-adjusted confirmation claim is attached to the 30-setting extension. The earlier augmentation estimators and their adjustments remain as specified in Section S3.1.</w:t>
      </w:r>
    </w:p>
    <w:p>
      <w:pPr>
        <w:pStyle w:val="Caption"/>
        <w:keepNext/>
      </w:pPr>
      <w:r>
        <w:t>Table S9. Absolute 64-step errors and exploratory pointwise 95% intervals for every setting and both test distributions. Physical calibration and training data are held fixed in the bootstrap. The release contains the 96-step results and unchanged-physics, persistence, and individual neural candidates.</w:t>
      </w:r>
    </w:p>
    <w:tbl>
      <w:tblPr>
        <w:tblW w:type="auto" w:w="0"/>
        <w:jc w:val="center"/>
        <w:tblLayout w:type="fixed"/>
        <w:tblLook w:firstColumn="1" w:firstRow="1" w:lastColumn="0" w:lastRow="0" w:noHBand="0" w:noVBand="1" w:val="04A0"/>
      </w:tblPr>
      <w:tblGrid>
        <w:gridCol w:w="2160"/>
        <w:gridCol w:w="1368"/>
        <w:gridCol w:w="1152"/>
        <w:gridCol w:w="2448"/>
        <w:gridCol w:w="2376"/>
      </w:tblGrid>
      <w:tr>
        <w:trPr>
          <w:tblHeade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 stage and grid</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Prior</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Test set</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Calibrated physics [95% CI]</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Selected neural [95% CI]</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3.53 × 10⁻¹²</w:t>
              <w:br/>
              <w:t>[2.68 × 10⁻¹²,</w:t>
              <w:br/>
              <w:t>4.45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0.000337</w:t>
              <w:br/>
              <w:t>[0.000251,</w:t>
              <w:br/>
              <w:t>0.000446]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2.62 × 10⁻¹²</w:t>
              <w:br/>
              <w:t>[1.95 × 10⁻¹²,</w:t>
              <w:br/>
              <w:t>3.45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0.0497</w:t>
              <w:br/>
              <w:t>[0.0279,</w:t>
              <w:br/>
              <w:t>0.0733]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3.06 × 10⁻¹²</w:t>
              <w:br/>
              <w:t>[2.38 × 10⁻¹²,</w:t>
              <w:br/>
              <w:t>3.81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0.00012</w:t>
              <w:br/>
              <w:t>[9.07 × 10⁻⁵,</w:t>
              <w:br/>
              <w:t>0.000159]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2.16 × 10⁻¹²</w:t>
              <w:br/>
              <w:t>[1.56 × 10⁻¹²,</w:t>
              <w:br/>
              <w:t>2.91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0.0365</w:t>
              <w:br/>
              <w:t>[0.0251,</w:t>
              <w:br/>
              <w:t>0.05]</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4.07 × 10⁻¹²</w:t>
              <w:br/>
              <w:t>[2.43 × 10⁻¹²,</w:t>
              <w:br/>
              <w:t>6.85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0.000266</w:t>
              <w:br/>
              <w:t>[0.000144,</w:t>
              <w:br/>
              <w:t>0.000475]</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1.65 × 10⁻¹¹</w:t>
              <w:br/>
              <w:t>[1.48 × 10⁻¹¹,</w:t>
              <w:br/>
              <w:t>1.84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0.00264</w:t>
              <w:br/>
              <w:t>[0.00162,</w:t>
              <w:br/>
              <w:t>0.00384]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3.91 × 10⁻¹²</w:t>
              <w:br/>
              <w:t>[2.4 × 10⁻¹²,</w:t>
              <w:br/>
              <w:t>6.37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0.000236</w:t>
              <w:br/>
              <w:t>[9.96 × 10⁻⁵,</w:t>
              <w:br/>
              <w:t>0.000486]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1.71 × 10⁻¹¹</w:t>
              <w:br/>
              <w:t>[1.52 × 10⁻¹¹,</w:t>
              <w:br/>
              <w:t>1.93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0.00344</w:t>
              <w:br/>
              <w:t>[0.00179,</w:t>
              <w:br/>
              <w:t>0.0053]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3.62 × 10⁻¹¹</w:t>
              <w:br/>
              <w:t>[1.78 × 10⁻¹¹,</w:t>
              <w:br/>
              <w:t>6.11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0.000521</w:t>
              <w:br/>
              <w:t>[0.000367,</w:t>
              <w:br/>
              <w:t>0.000706]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1.67 × 10⁻¹¹</w:t>
              <w:br/>
              <w:t>[9.81 × 10⁻¹²,</w:t>
              <w:br/>
              <w:t>2.81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0.00877</w:t>
              <w:br/>
              <w:t>[0.00427,</w:t>
              <w:br/>
              <w:t>0.0141]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2.53 × 10⁻¹¹</w:t>
              <w:br/>
              <w:t>[6.27 × 10⁻¹²,</w:t>
              <w:br/>
              <w:t>5.14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0.000204</w:t>
              <w:br/>
              <w:t>[0.000128,</w:t>
              <w:br/>
              <w:t>0.000301]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9.77 × 10⁻¹²</w:t>
              <w:br/>
              <w:t>[3.71 × 10⁻¹²,</w:t>
              <w:br/>
              <w:t>2.03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0.00565</w:t>
              <w:br/>
              <w:t>[0.00292,</w:t>
              <w:br/>
              <w:t>0.00898]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2.11 × 10⁻¹¹</w:t>
              <w:br/>
              <w:t>[1.8 × 10⁻¹¹,</w:t>
              <w:br/>
              <w:t>2.45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0.000443</w:t>
              <w:br/>
              <w:t>[0.000345,</w:t>
              <w:br/>
              <w:t>0.000574]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4.28 × 10⁻¹²</w:t>
              <w:br/>
              <w:t>[3.7 × 10⁻¹²,</w:t>
              <w:br/>
              <w:t>4.98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0.116</w:t>
              <w:br/>
              <w:t>[0.0848,</w:t>
              <w:br/>
              <w:t>0.152]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2.06 × 10⁻¹¹</w:t>
              <w:br/>
              <w:t>[1.72 × 10⁻¹¹,</w:t>
              <w:br/>
              <w:t>2.44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0.000419</w:t>
              <w:br/>
              <w:t>[0.000308,</w:t>
              <w:br/>
              <w:t>0.000559]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4.28 × 10⁻¹²</w:t>
              <w:br/>
              <w:t>[3.66 × 10⁻¹²,</w:t>
              <w:br/>
              <w:t>5.04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w:t>
              <w:br/>
              <w:t>[0.0799,</w:t>
              <w:br/>
              <w:t>0.124]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1.81 × 10⁻⁷</w:t>
              <w:br/>
              <w:t>[9.38 × 10⁻⁸,</w:t>
              <w:br/>
              <w:t>2.89 × 10⁻⁷]</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0.027</w:t>
              <w:br/>
              <w:t>[0.0137,</w:t>
              <w:br/>
              <w:t>0.0482]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4.27 × 10⁻⁶</w:t>
              <w:br/>
              <w:t>[2.5 × 10⁻⁶,</w:t>
              <w:br/>
              <w:t>6.67 × 10⁻⁶]</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0.476</w:t>
              <w:br/>
              <w:t>[0.356,</w:t>
              <w:br/>
              <w:t>0.608]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1.81 × 10⁻⁷</w:t>
              <w:br/>
              <w:t>[9.61 × 10⁻⁸,</w:t>
              <w:br/>
              <w:t>2.87 × 10⁻⁷]</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0.0148</w:t>
              <w:br/>
              <w:t>[0.0063,</w:t>
              <w:br/>
              <w:t>0.0302]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4.28 × 10⁻⁶</w:t>
              <w:br/>
              <w:t>[2.49 × 10⁻⁶,</w:t>
              <w:br/>
              <w:t>6.55 × 10⁻⁶]</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0.295</w:t>
              <w:br/>
              <w:t>[0.222,</w:t>
              <w:br/>
              <w:t>0.384]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4.46 × 10⁻¹¹</w:t>
              <w:br/>
              <w:t>[3.34 × 10⁻¹¹,</w:t>
              <w:br/>
              <w:t>5.62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0.000411</w:t>
              <w:br/>
              <w:t>[0.0003,</w:t>
              <w:br/>
              <w:t>0.000538]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2.65 × 10⁻⁹</w:t>
              <w:br/>
              <w:t>[2.2 × 10⁻⁹,</w:t>
              <w:br/>
              <w:t>3.1 × 10⁻⁹]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0.0774</w:t>
              <w:br/>
              <w:t>[0.0617,</w:t>
              <w:br/>
              <w:t>0.0943]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4.5 × 10⁻¹¹</w:t>
              <w:br/>
              <w:t>[3.38 × 10⁻¹¹,</w:t>
              <w:br/>
              <w:t>5.75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0.000142</w:t>
              <w:br/>
              <w:t>[0.000118,</w:t>
              <w:br/>
              <w:t>0.000172]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Dev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2.65 × 10⁻⁹</w:t>
              <w:br/>
              <w:t>[2.2 × 10⁻⁹,</w:t>
              <w:br/>
              <w:t>3.12 × 10⁻⁹]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0.0481</w:t>
              <w:br/>
              <w:t>[0.0361,</w:t>
              <w:br/>
              <w:t>0.061]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4.36 × 10⁻¹²</w:t>
              <w:br/>
              <w:t>[3.14 × 10⁻¹²,</w:t>
              <w:br/>
              <w:t>5.74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0.000379</w:t>
              <w:br/>
              <w:t>[0.000257,</w:t>
              <w:br/>
              <w:t>0.000526]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2.27 × 10⁻¹²</w:t>
              <w:br/>
              <w:t>[1.77 × 10⁻¹²,</w:t>
              <w:br/>
              <w:t>2.78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0.0472</w:t>
              <w:br/>
              <w:t>[0.0233,</w:t>
              <w:br/>
              <w:t>0.0711]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4.24 × 10⁻¹²</w:t>
              <w:br/>
              <w:t>[3.09 × 10⁻¹²,</w:t>
              <w:br/>
              <w:t>5.56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0.000126</w:t>
              <w:br/>
              <w:t>[9.6 × 10⁻⁵,</w:t>
              <w:br/>
              <w:t>0.000161]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2.23 × 10⁻¹²</w:t>
              <w:br/>
              <w:t>[1.73 × 10⁻¹²,</w:t>
              <w:br/>
              <w:t>2.8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0.0295</w:t>
              <w:br/>
              <w:t>[0.0147,</w:t>
              <w:br/>
              <w:t>0.0432]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4.77 × 10⁻¹²</w:t>
              <w:br/>
              <w:t>[3.49 × 10⁻¹²,</w:t>
              <w:br/>
              <w:t>6.3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0.000506</w:t>
              <w:br/>
              <w:t>[0.000382,</w:t>
              <w:br/>
              <w:t>0.000752]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1.72 × 10⁻¹¹</w:t>
              <w:br/>
              <w:t>[1.49 × 10⁻¹¹,</w:t>
              <w:br/>
              <w:t>1.96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0.00702</w:t>
              <w:br/>
              <w:t>[0.00407,</w:t>
              <w:br/>
              <w:t>0.00982]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4.8 × 10⁻¹²</w:t>
              <w:br/>
              <w:t>[3.52 × 10⁻¹²,</w:t>
              <w:br/>
              <w:t>6.31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0.000245</w:t>
              <w:br/>
              <w:t>[0.000157,</w:t>
              <w:br/>
              <w:t>0.000358]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1.73 × 10⁻¹¹</w:t>
              <w:br/>
              <w:t>[1.5 × 10⁻¹¹,</w:t>
              <w:br/>
              <w:t>1.97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0.00876</w:t>
              <w:br/>
              <w:t>[0.00246,</w:t>
              <w:br/>
              <w:t>0.0185]</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6.17 × 10⁻¹¹</w:t>
              <w:br/>
              <w:t>[4.49 × 10⁻¹¹,</w:t>
              <w:br/>
              <w:t>7.98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0.000355</w:t>
              <w:br/>
              <w:t>[0.000289,</w:t>
              <w:br/>
              <w:t>0.000423]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2.21 × 10⁻⁹</w:t>
              <w:br/>
              <w:t>[1.9 × 10⁻⁹,</w:t>
              <w:br/>
              <w:t>2.52 × 10⁻⁹]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0.056</w:t>
              <w:br/>
              <w:t>[0.0412,</w:t>
              <w:br/>
              <w:t>0.0706]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6.26 × 10⁻¹¹</w:t>
              <w:br/>
              <w:t>[4.52 × 10⁻¹¹,</w:t>
              <w:br/>
              <w:t>8.11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0.000148</w:t>
              <w:br/>
              <w:t>[0.000103,</w:t>
              <w:br/>
              <w:t>0.000211]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32</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2.21 × 10⁻⁹</w:t>
              <w:br/>
              <w:t>[1.9 × 10⁻⁹,</w:t>
              <w:br/>
              <w:t>2.54 × 10⁻⁹]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0.0476</w:t>
              <w:br/>
              <w:t>[0.0332,</w:t>
              <w:br/>
              <w:t>0.0631]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2.46 × 10⁻¹²</w:t>
              <w:br/>
              <w:t>[1.76 × 10⁻¹²,</w:t>
              <w:br/>
              <w:t>3.3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0.000446</w:t>
              <w:br/>
              <w:t>[0.000346,</w:t>
              <w:br/>
              <w:t>0.000558]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1.39 × 10⁻¹²</w:t>
              <w:br/>
              <w:t>[1.1 × 10⁻¹²,</w:t>
              <w:br/>
              <w:t>1.7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0.0492</w:t>
              <w:br/>
              <w:t>[0.0237,</w:t>
              <w:br/>
              <w:t>0.0733]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2.38 × 10⁻¹²</w:t>
              <w:br/>
              <w:t>[1.71 × 10⁻¹²,</w:t>
              <w:br/>
              <w:t>3.13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0.000151</w:t>
              <w:br/>
              <w:t>[9.66 × 10⁻⁵,</w:t>
              <w:br/>
              <w:t>0.00023]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1.22 × 10⁻¹²</w:t>
              <w:br/>
              <w:t>[9.49 × 10⁻¹³,</w:t>
              <w:br/>
              <w:t>1.5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0.0292</w:t>
              <w:br/>
              <w:t>[0.0164,</w:t>
              <w:br/>
              <w:t>0.0431]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4.46 × 10⁻¹²</w:t>
              <w:br/>
              <w:t>[3.21 × 10⁻¹²,</w:t>
              <w:br/>
              <w:t>5.86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0.000561</w:t>
              <w:br/>
              <w:t>[0.000393,</w:t>
              <w:br/>
              <w:t>0.000799]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1.74 × 10⁻¹¹</w:t>
              <w:br/>
              <w:t>[1.5 × 10⁻¹¹,</w:t>
              <w:br/>
              <w:t>1.99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0.00963</w:t>
              <w:br/>
              <w:t>[0.00379,</w:t>
              <w:br/>
              <w:t>0.0161]</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4.33 × 10⁻¹²</w:t>
              <w:br/>
              <w:t>[3.12 × 10⁻¹²,</w:t>
              <w:br/>
              <w:t>5.77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0.000227</w:t>
              <w:br/>
              <w:t>[0.000153,</w:t>
              <w:br/>
              <w:t>0.000324]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1.72 × 10⁻¹¹</w:t>
              <w:br/>
              <w:t>[1.49 × 10⁻¹¹,</w:t>
              <w:br/>
              <w:t>1.98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0.00779</w:t>
              <w:br/>
              <w:t>[0.00236,</w:t>
              <w:br/>
              <w:t>0.0169]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4.9 × 10⁻¹²</w:t>
              <w:br/>
              <w:t>[4.23 × 10⁻¹²,</w:t>
              <w:br/>
              <w:t>5.63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0.000373</w:t>
              <w:br/>
              <w:t>[0.000315,</w:t>
              <w:br/>
              <w:t>0.000436]</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1.57 × 10⁻¹¹</w:t>
              <w:br/>
              <w:t>[1.42 × 10⁻¹¹,</w:t>
              <w:br/>
              <w:t>1.73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0.0676</w:t>
              <w:br/>
              <w:t>[0.0438,</w:t>
              <w:br/>
              <w:t>0.0947]</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5.12 × 10⁻¹²</w:t>
              <w:br/>
              <w:t>[4.35 × 10⁻¹²,</w:t>
              <w:br/>
              <w:t>5.93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0.000134</w:t>
              <w:br/>
              <w:t>[0.000104,</w:t>
              <w:br/>
              <w:t>0.000174]</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br/>
              <w:t>Follow-up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1.66 × 10⁻¹¹</w:t>
              <w:br/>
              <w:t>[1.49 × 10⁻¹¹,</w:t>
              <w:br/>
              <w:t>1.83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0.044</w:t>
              <w:br/>
              <w:t>[0.0279,</w:t>
              <w:br/>
              <w:t>0.0607]</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2.05 × 10⁻¹²</w:t>
              <w:br/>
              <w:t>[1.46 × 10⁻¹²,</w:t>
              <w:br/>
              <w:t>2.72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4.57 × 10⁻⁵</w:t>
              <w:br/>
              <w:t>[3.49 × 10⁻⁵,</w:t>
              <w:br/>
              <w:t>5.85 × 10⁻⁵]</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5.32 × 10⁻¹²</w:t>
              <w:br/>
              <w:t>[4.39 × 10⁻¹²,</w:t>
              <w:br/>
              <w:t>6.33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0.00186</w:t>
              <w:br/>
              <w:t>[0.00101,</w:t>
              <w:br/>
              <w:t>0.00277]</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2.39 × 10⁻¹²</w:t>
              <w:br/>
              <w:t>[1.8 × 10⁻¹²,</w:t>
              <w:br/>
              <w:t>3.03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2.91 × 10⁻⁵</w:t>
              <w:br/>
              <w:t>[2.22 × 10⁻⁵,</w:t>
              <w:br/>
              <w:t>3.79 × 10⁻⁵]</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5.98 × 10⁻¹²</w:t>
              <w:br/>
              <w:t>[5.01 × 10⁻¹²,</w:t>
              <w:br/>
              <w:t>7 × 10⁻¹²]</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0.00202</w:t>
              <w:br/>
              <w:t>[0.0011,</w:t>
              <w:br/>
              <w:t>0.00313]</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0.267</w:t>
              <w:br/>
              <w:t>[0.161,</w:t>
              <w:br/>
              <w:t>0.403]</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4.7 × 10⁻⁵</w:t>
              <w:br/>
              <w:t>[3.6 × 10⁻⁵,</w:t>
              <w:br/>
              <w:t>5.99 × 10⁻⁵]</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0.709</w:t>
              <w:br/>
              <w:t>[0.56,</w:t>
              <w:br/>
              <w:t>0.876]</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0.00194</w:t>
              <w:br/>
              <w:t>[0.00104,</w:t>
              <w:br/>
              <w:t>0.0029]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3.54 × 10⁻¹¹</w:t>
              <w:br/>
              <w:t>[3.15 × 10⁻¹¹,</w:t>
              <w:br/>
              <w:t>3.93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0.000434</w:t>
              <w:br/>
              <w:t>[0.000318,</w:t>
              <w:br/>
              <w:t>0.000555]</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 coefficients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4.01 × 10⁻¹¹</w:t>
              <w:br/>
              <w:t>[3.53 × 10⁻¹¹,</w:t>
              <w:br/>
              <w:t>4.53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0.00788</w:t>
              <w:br/>
              <w:t>[0.00442,</w:t>
              <w:br/>
              <w:t>0.0122]</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3.49 × 10⁻¹¹</w:t>
              <w:br/>
              <w:t>[3.12 × 10⁻¹¹,</w:t>
              <w:br/>
              <w:t>3.87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0.000447</w:t>
              <w:br/>
              <w:t>[0.000328,</w:t>
              <w:br/>
              <w:t>0.000589]</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Correct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3.99 × 10⁻¹¹</w:t>
              <w:br/>
              <w:t>[3.52 × 10⁻¹¹,</w:t>
              <w:br/>
              <w:t>4.48 × 10⁻¹¹]</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0.0084</w:t>
              <w:br/>
              <w:t>[0.00387,</w:t>
              <w:br/>
              <w:t>0.0138]</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Ordinary</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1.49</w:t>
              <w:br/>
              <w:t>[1.38,</w:t>
              <w:br/>
              <w:t>1.61]</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0.000504</w:t>
              <w:br/>
              <w:t>[0.000334,</w:t>
              <w:br/>
              <w:t>0.000715]</w:t>
            </w:r>
          </w:p>
        </w:tc>
      </w:tr>
      <w:tr>
        <w:trPr>
          <w:cantSplit/>
        </w:trPr>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br/>
              <w:t>New equations 64</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Omitted term</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Shifted</w:t>
            </w:r>
          </w:p>
        </w:tc>
        <w:tc>
          <w:tcPr>
            <w:tcW w:type="dxa" w:w="244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2.41</w:t>
              <w:br/>
              <w:t>[2.15,</w:t>
              <w:br/>
              <w:t>2.67]</w:t>
            </w:r>
          </w:p>
        </w:tc>
        <w:tc>
          <w:tcPr>
            <w:tcW w:type="dxa" w:w="237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0.00777</w:t>
              <w:br/>
              <w:t>[0.0041,</w:t>
              <w:br/>
              <w:t>0.0123]</w:t>
            </w:r>
          </w:p>
        </w:tc>
      </w:tr>
    </w:tbl>
    <w:p>
      <w:pPr>
        <w:spacing w:after="20"/>
      </w:pPr>
    </w:p>
    <w:p>
      <w:r>
        <w:t>Some correct-coefficient physical errors are close to numerical precision. Relative reductions in these cases can be large because their baseline denominator is extremely small. Absolute errors are therefore retained beside every relative comparison. There is no minimum performance threshold and no required count of favorable systems. Report colors are convenience labels for the direction and uncertainty of individual comparisons; manuscript interpretation uses the numerical results.</w:t>
      </w:r>
    </w:p>
    <w:p>
      <w:pPr>
        <w:pStyle w:val="Heading1"/>
      </w:pPr>
      <w:r>
        <w:t>S8 Data reconstruction and current computation</w:t>
      </w:r>
    </w:p>
    <w:p>
      <w:r>
        <w:t>The generator reconstructs family-specific and split-specific random streams from the archived configuration and seeds. Parameter sampling, initial-state sampling, action generation, 32-trajectory simulation chunks, burn-in, array dtype, trajectory identifiers, and NPZ key order match the original source. Data generation uses eight Torch CPU threads, matching the archived environment. Fitting restores the requested thread count afterward. This distinction matters because FFT arithmetic can differ by thread count before the final float32 cast.</w:t>
      </w:r>
    </w:p>
    <w:p>
      <w:r>
        <w:t>All 28 development/test dataset files match the archived NPZ SHA-256 hashes exactly. The direct audit also verifies 30 frozen calibration hashes and 60 ordered trajectory-ID comparisons. An independent calculation from the raw physical curves and archived neural arrays reproduces all 600 primary means and all 156 validation choices. The source and result manifests preserve these checks.</w:t>
      </w:r>
    </w:p>
    <w:p>
      <w:r>
        <w:t>Reference-replay comparisons use a preset tolerance of 10⁻⁷ plus 10⁻⁴ times the absolute reference error for each scalar squared-error value. Three settings exceed it for the CPU physical forecast versus the archived GPU calculation: development Allen–Cahn with biased coefficients, development Kuramoto–Sivashinsky with correct coefficients, and 32-cell follow-up Allen–Cahn with biased coefficients. Exact dataset hashes establish that the forecast targets are shared. The reference-error differences remain recorded and are not silently treated as exact arithmetic reproduction. A future run without exact dataset hashes must pass the numerical replay route before saved neural errors are reused.</w:t>
      </w:r>
    </w:p>
    <w:p>
      <w:r>
        <w:t>An independently implemented NumPy float64 solver was checked against Torch in 96 combinations spanning the eight families, both grids, all three physical priors, and coarse/fine integration over four steps. The largest absolute difference is about 5 × 10⁻¹⁵. Another 144 checks reproduce the six shared development and confirmation equations bitwise in float32 and float64. These are checks of the implemented equations and discretizations. The NumPy fallback remains a diagnostic backend because its float32 intermediate arithmetic differs from Torch.</w:t>
      </w:r>
    </w:p>
    <w:p>
      <w:r>
        <w:t>New CPU forward timing uses one trajectory per call and one intra-operation thread. Each method has five warmups followed by five randomized, interleaved blocks of 20 calls. The reported setting-level value is the median block time. Physical timing includes coefficient correction and the existing numerical step. Neural timing includes state and parameter normalization, the complete architecture, and denormalization. The zero-initialized neural output heads leave every network layer in the executed graph. No training or prediction-accuracy claim is based on those fresh initialized outputs.</w:t>
      </w:r>
    </w:p>
    <w:p>
      <w:r>
        <w:t>The measured current experiment lasts about 85 seconds after setup: 49 seconds for data generation, 9.2 seconds for parallel calibration, 11 seconds for physical evaluation, and 16 seconds for forward timing. A single-setting calibration has median elapsed time 0.72 seconds. The sum of setting-level calibration times is about 25 seconds because four workers run concurrently. These quantities describe different timing scopes. The report retains both, together with hardware and software metadata. Historical GPU training costs remain in their own archive.</w:t>
      </w:r>
    </w:p>
    <w:p>
      <w:pPr>
        <w:pStyle w:val="Heading1"/>
      </w:pPr>
      <w:r>
        <w:t>S9 Original perturbation figures</w:t>
      </w:r>
    </w:p>
    <w:p>
      <w:r>
        <w:t>The original input-matched and response-matched comparisons are retained below to show how the neural supervision results depend on the perturbation procedure. The resolution plot retains the separately trained 32-cell and 64-cell effects. Main-text Figure 2 gives the architecture breakdown at 64 cells.</w:t>
      </w:r>
    </w:p>
    <w:p>
      <w:pPr>
        <w:keepNext/>
        <w:jc w:val="center"/>
      </w:pPr>
      <w:r>
        <w:drawing>
          <wp:inline xmlns:a="http://schemas.openxmlformats.org/drawingml/2006/main" xmlns:pic="http://schemas.openxmlformats.org/drawingml/2006/picture">
            <wp:extent cx="5897880" cy="3179326"/>
            <wp:docPr id="1" name="Picture 1" descr="Figure S1. Perturbation comparisons with correct physical coefficients. Smooth augmentation is compared with spatially independent noise (a) and with noise rescaled to match the one-step change produced by the physical model (b). Smooth and independent perturbations in panel a have matched input root-mean-square magnitude. Each point is the geometric mean of paired 64-step mean squared error ratios across three architectures and six training seeds at 32 grid points. Values below one favor smooth augmentation. Intervals use 50,000 crossed bootstrap resamples of paired seeds and complete test trajectories. The intervals retain the original Bonferroni adjustment across all 24 development contrasts, giving a 99.792% interval for each plotted comparison. The panel displays 12 of those contrasts."/>
            <wp:cNvGraphicFramePr>
              <a:graphicFrameLocks noChangeAspect="1"/>
            </wp:cNvGraphicFramePr>
            <a:graphic>
              <a:graphicData uri="http://schemas.openxmlformats.org/drawingml/2006/picture">
                <pic:pic>
                  <pic:nvPicPr>
                    <pic:cNvPr id="0" name="figure_1_perturbation_controls.png"/>
                    <pic:cNvPicPr/>
                  </pic:nvPicPr>
                  <pic:blipFill>
                    <a:blip r:embed="rId11"/>
                    <a:stretch>
                      <a:fillRect/>
                    </a:stretch>
                  </pic:blipFill>
                  <pic:spPr>
                    <a:xfrm>
                      <a:off x="0" y="0"/>
                      <a:ext cx="5897880" cy="3179326"/>
                    </a:xfrm>
                    <a:prstGeom prst="rect"/>
                  </pic:spPr>
                </pic:pic>
              </a:graphicData>
            </a:graphic>
          </wp:inline>
        </w:drawing>
      </w:r>
    </w:p>
    <w:p>
      <w:pPr>
        <w:pStyle w:val="Caption"/>
      </w:pPr>
      <w:r>
        <w:t>Figure S1. Perturbation comparisons with correct physical coefficients. Smooth augmentation is compared with spatially independent noise (a) and with noise rescaled to match the one-step change produced by the physical model (b). Smooth and independent perturbations in panel a have matched input root-mean-square magnitude. Each point is the geometric mean of paired 64-step mean squared error ratios across three architectures and six training seeds at 32 grid points. Values below one favor smooth augmentation. Intervals use 50,000 crossed bootstrap resamples of paired seeds and complete test trajectories. The intervals retain the original Bonferroni adjustment across all 24 development contrasts, giving a 99.792% interval for each plotted comparison. The panel displays 12 of those contrasts.</w:t>
      </w:r>
    </w:p>
    <w:p>
      <w:pPr>
        <w:keepNext/>
        <w:jc w:val="center"/>
      </w:pPr>
      <w:r>
        <w:drawing>
          <wp:inline xmlns:a="http://schemas.openxmlformats.org/drawingml/2006/main" xmlns:pic="http://schemas.openxmlformats.org/drawingml/2006/picture">
            <wp:extent cx="5897880" cy="3547943"/>
            <wp:docPr id="2" name="Picture 2" descr="Figure S2. Repetition of selected augmentation effects at two spatial resolutions. The ratio compares smooth augmentation with training without the auxiliary physics loss. Separate models were trained at 32 and 64 grid points, using four seeds at each resolution. Points pool the transformer, looped transformer, and Fourier neural operator through the geometric mean of paired 64-step mean squared error ratios. Error bars are pointwise 95% intervals from 20,000 paired bootstrap resamples of seeds and complete test trajectories. Values below one indicate lower error with smooth augmentation; values above one indicate higher error. The six tests at 64 grid points use a separate Holm correction reported in the text. The intervals shown here are pointwise."/>
            <wp:cNvGraphicFramePr>
              <a:graphicFrameLocks noChangeAspect="1"/>
            </wp:cNvGraphicFramePr>
            <a:graphic>
              <a:graphicData uri="http://schemas.openxmlformats.org/drawingml/2006/picture">
                <pic:pic>
                  <pic:nvPicPr>
                    <pic:cNvPr id="0" name="figure_2_grid_confirmation.png"/>
                    <pic:cNvPicPr/>
                  </pic:nvPicPr>
                  <pic:blipFill>
                    <a:blip r:embed="rId12"/>
                    <a:stretch>
                      <a:fillRect/>
                    </a:stretch>
                  </pic:blipFill>
                  <pic:spPr>
                    <a:xfrm>
                      <a:off x="0" y="0"/>
                      <a:ext cx="5897880" cy="3547943"/>
                    </a:xfrm>
                    <a:prstGeom prst="rect"/>
                  </pic:spPr>
                </pic:pic>
              </a:graphicData>
            </a:graphic>
          </wp:inline>
        </w:drawing>
      </w:r>
    </w:p>
    <w:p>
      <w:pPr>
        <w:pStyle w:val="Caption"/>
      </w:pPr>
      <w:r>
        <w:t>Figure S2. Repetition of selected augmentation effects at two spatial resolutions. The ratio compares smooth augmentation with training without the auxiliary physics loss. Separate models were trained at 32 and 64 grid points, using four seeds at each resolution. Points pool the transformer, looped transformer, and Fourier neural operator through the geometric mean of paired 64-step mean squared error ratios. Error bars are pointwise 95% intervals from 20,000 paired bootstrap resamples of seeds and complete test trajectories. Values below one indicate lower error with smooth augmentation; values above one indicate higher error. The six tests at 64 grid points use a separate Holm correction reported in the text. The intervals shown here are pointwise.</w:t>
      </w:r>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