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b/>
          <w:sz w:val="30"/>
        </w:rPr>
        <w:t>Beyond Independent Shots on Goal: Risk Capacity, Synergy, and Concentration in Pharmaceutical R&amp;D Portfolios</w:t>
      </w:r>
    </w:p>
    <w:p>
      <w:pPr>
        <w:spacing w:line="276" w:lineRule="auto"/>
        <w:jc w:val="center"/>
      </w:pPr>
      <w:r>
        <w:t>Article type: Research Article</w:t>
      </w:r>
    </w:p>
    <w:p>
      <w:pPr>
        <w:spacing w:line="276" w:lineRule="auto"/>
        <w:jc w:val="center"/>
      </w:pPr>
      <w:r>
        <w:t>Running title: Risk Capacity in Pharmaceutical R&amp;D Portfolios</w:t>
      </w:r>
    </w:p>
    <w:p>
      <w:pPr>
        <w:spacing w:line="276" w:lineRule="auto"/>
        <w:jc w:val="center"/>
      </w:pPr>
      <w:r/>
    </w:p>
    <w:p>
      <w:pPr>
        <w:spacing w:line="276" w:lineRule="auto"/>
        <w:jc w:val="center"/>
      </w:pPr>
      <w:r>
        <w:t>Michael R. Doane, D.Eng.</w:t>
      </w:r>
    </w:p>
    <w:p>
      <w:pPr>
        <w:spacing w:line="276" w:lineRule="auto"/>
        <w:jc w:val="center"/>
      </w:pPr>
      <w:r>
        <w:t>Independent Researcher, Cary, North Carolina, USA</w:t>
      </w:r>
    </w:p>
    <w:p>
      <w:pPr>
        <w:spacing w:line="276" w:lineRule="auto"/>
        <w:jc w:val="center"/>
      </w:pPr>
      <w:r>
        <w:t>ORCID: 0009-0003-0521-8981</w:t>
      </w:r>
    </w:p>
    <w:p>
      <w:pPr>
        <w:spacing w:line="276" w:lineRule="auto"/>
        <w:jc w:val="center"/>
      </w:pPr>
      <w:r/>
    </w:p>
    <w:p>
      <w:pPr>
        <w:spacing w:line="276" w:lineRule="auto"/>
        <w:jc w:val="center"/>
      </w:pPr>
      <w:r>
        <w:t>Corresponding author: Michael R. Doane, D.Eng.</w:t>
      </w:r>
    </w:p>
    <w:p>
      <w:pPr>
        <w:spacing w:line="276" w:lineRule="auto"/>
        <w:jc w:val="center"/>
      </w:pPr>
      <w:r>
        <w:t>Independent Researcher, Cary, North Carolina, USA</w:t>
      </w:r>
    </w:p>
    <w:p>
      <w:pPr>
        <w:spacing w:line="276" w:lineRule="auto"/>
        <w:jc w:val="center"/>
      </w:pPr>
      <w:r>
        <w:t>Email: mdoane@alumni.stanford.edu</w:t>
      </w:r>
    </w:p>
    <w:p>
      <w:pPr>
        <w:spacing w:line="276" w:lineRule="auto"/>
        <w:jc w:val="center"/>
      </w:pPr>
      <w:r/>
    </w:p>
    <w:p>
      <w:pPr>
        <w:spacing w:line="276" w:lineRule="auto"/>
        <w:jc w:val="center"/>
      </w:pPr>
      <w:r>
        <w:t>Word count (abstract and main text): 3,709</w:t>
      </w:r>
    </w:p>
    <w:p>
      <w:pPr>
        <w:spacing w:line="276" w:lineRule="auto"/>
        <w:jc w:val="center"/>
      </w:pPr>
      <w:r>
        <w:t>Main tables: 3</w:t>
      </w:r>
    </w:p>
    <w:p>
      <w:pPr>
        <w:spacing w:line="276" w:lineRule="auto"/>
        <w:jc w:val="center"/>
      </w:pPr>
      <w:r>
        <w:t>Main figures: 6</w:t>
      </w:r>
    </w:p>
    <w:p>
      <w:pPr>
        <w:spacing w:line="276" w:lineRule="auto"/>
        <w:jc w:val="center"/>
      </w:pPr>
      <w:r>
        <w:t>Supplementary tables: 2</w:t>
      </w:r>
    </w:p>
    <w:p>
      <w:pPr>
        <w:spacing w:line="276" w:lineRule="auto"/>
        <w:jc w:val="center"/>
      </w:pPr>
      <w:r>
        <w:t>Supplementary figures: 1</w:t>
      </w:r>
    </w:p>
    <w:p>
      <w:pPr>
        <w:spacing w:line="276" w:lineRule="auto"/>
        <w:jc w:val="center"/>
      </w:pPr>
      <w:r/>
    </w:p>
    <w:p>
      <w:pPr>
        <w:spacing w:line="276" w:lineRule="auto"/>
        <w:jc w:val="center"/>
      </w:pPr>
      <w:r>
        <w:t>Keywords: Pharmaceutical R&amp;D; Portfolio management; Risk capacity; Technical dependence; Revenue cannibalization; Expected net present value</w:t>
      </w:r>
    </w:p>
    <w:p>
      <w:r>
        <w:br w:type="page"/>
      </w:r>
    </w:p>
    <w:p>
      <w:pPr>
        <w:pStyle w:val="Heading1"/>
      </w:pPr>
      <w:r>
        <w:t>Abstract</w:t>
      </w:r>
    </w:p>
    <w:p>
      <w:pPr/>
      <w:r>
        <w:rPr>
          <w:b/>
        </w:rPr>
        <w:t xml:space="preserve">Background: </w:t>
      </w:r>
      <w:r>
        <w:t>Pharmaceutical portfolios may develop one asset across indications or several assets against a shared target, pathway, or indication. These strategies create synergies, but shared technical outcomes and non-additive revenue reduce effective diversification. Expected value and project count can obscure exposure to adverse states.</w:t>
      </w:r>
    </w:p>
    <w:p>
      <w:pPr/>
      <w:r>
        <w:rPr>
          <w:b/>
        </w:rPr>
        <w:t xml:space="preserve">Methods: </w:t>
      </w:r>
      <w:r>
        <w:t>We compared six matched programs arranged as independent assets, a pipeline-in-a-pill (PIAP) portfolio, or multiple shots on goal (MSOG). Monte Carlo simulation and exact Gaussian-factor integration isolated technical dependence, R&amp;D cost synergy, staging, and revenue cannibalization. Outcomes included eNPV, ePI, fifth-percentile NPV, CVaR5, capacity breach, effective breadth, and rolling three-year launch service. Robustness used 1,000 Latin hypercube opportunity sets and 250,000-path boundary confirmation.</w:t>
      </w:r>
    </w:p>
    <w:p>
      <w:pPr/>
      <w:r>
        <w:rPr>
          <w:b/>
        </w:rPr>
        <w:t xml:space="preserve">Results: </w:t>
      </w:r>
      <w:r>
        <w:t>With matched marginal probabilities, dependence preserved mean value while worsening downside exposure. Six PIAP programs supplied 3.19 variance-equivalent independent shots and required 20% R&amp;D saving to satisfy high-capacity limits with 15 years to loss of exclusivity. Across heterogeneous portfolios, the median PIAP threshold was 23% (10th-90th percentile, 15%-29%); 17% had no solution through 30%. Staging saved $114 million in development cost but reduced eNPV by $428 million and increased capacity breach by 12.0 percentage points. An 80% three-year target of at least two launches required 19 independent or 25 PIAP starts. Ignoring 25% cannibalization at 10% cost saving produced median eNPV regret of $59 million.</w:t>
      </w:r>
    </w:p>
    <w:p>
      <w:pPr/>
      <w:r>
        <w:rPr>
          <w:b/>
        </w:rPr>
        <w:t xml:space="preserve">Conclusions: </w:t>
      </w:r>
      <w:r>
        <w:t>Concentration exchanges synergy for tail risk and risk-capacity consumption. A strategy-specific synergy frontier conditioned on organizational limits and supplemented by value, tail, and launch-service metrics provides a reproducible decision output.</w:t>
      </w:r>
    </w:p>
    <w:p>
      <w:pPr>
        <w:pStyle w:val="Heading1"/>
      </w:pPr>
      <w:r>
        <w:t>Introduction</w:t>
      </w:r>
    </w:p>
    <w:p>
      <w:pPr/>
      <w:r>
        <w:t>Pharmaceutical portfolio teams often use the language of shots on goal to describe diversification. The phrase can conceal materially different structures. Six programs may represent six unrelated assets, one asset developed in six indications, or several assets directed at a common target, pathway, or indication. Each structure can produce the same expected number of launches when marginal technical success probabilities are held constant. They do not provide the same distribution of outcomes. Shared asset, biology, execution, or safety risks cause successes and failures to cluster. Commercial overlap can further make the value of several launches non-additive.</w:t>
      </w:r>
    </w:p>
    <w:p>
      <w:pPr/>
      <w:r>
        <w:t>This distinction has become empirically actionable. Dai and colleagues estimated dependence across more than 25,000 clinical trials and reported approximately 10% correlation within therapeutic areas and correlations approaching 40% for trials sharing phase or mechanism hierarchy [1]. These estimates are valuable inputs to portfolio analysis. They do not, by themselves, indicate whether a particular concentration decision is economically justified or survivable for a particular sponsor. The decision depends on the value of operational synergy, protected commercial runway, revenue interaction, and the organization's ability to finance adverse states.</w:t>
      </w:r>
    </w:p>
    <w:p>
      <w:pPr/>
      <w:r>
        <w:t>The practical problem is familiar. A mid-sized company can launch Phase 2 and Phase 3 development across several indications in parallel to preserve pre-expiry revenue. Parallelism may share platform knowledge, manufacturing, evidence generation, and commercial infrastructure. It also places more capital at risk before informative readouts arrive. A late safety finding can terminate several programs together. A staged strategy spends less before learning, yet delayed followers can surrender years of protected revenue and weaken launch cadence. True diversification can preserve enterprise continuity when the concentrated strategy fails.</w:t>
      </w:r>
    </w:p>
    <w:p>
      <w:pPr/>
      <w:r>
        <w:t>Conventional eNPV ranks investments by expected discounted cash flow and remains indispensable. It is incomplete when two portfolios have similar means and different variances. Profitability indices are also common because capital is constrained. In this analysis, expected profitability index (ePI) is defined as eNPV divided by expected development cost. This definition is preferable to the term expected ROI here because it is a ratio of expected values and avoids implying a pathwise internal rate of return. Lower-tail NPV, CVaR, liquidity breach, and launch-service probability then describe the distributional features that eNPV and ePI cannot carry alone.</w:t>
      </w:r>
    </w:p>
    <w:p>
      <w:pPr/>
      <w:r>
        <w:t>We therefore ask four decision questions. First, how much R&amp;D or timing synergy must a concentrated portfolio earn to compensate for its tail risk and remain value-noninferior to diversification? Second, can the sponsor carry the resulting cash-flow path within stated risk tolerances and financing capacity? Third, how does staging trade reduced expected spend against delayed launches and shorter protected runway? Fourth, how much economic regret follows when a committee assumes independence or additive revenue and reality produces correlation or cannibalization? The primary contribution is a reproducible synergy-versus-risk-capacity frontier that answers these questions in money, tail loss, and launch reliability.</w:t>
      </w:r>
    </w:p>
    <w:p>
      <w:pPr>
        <w:pStyle w:val="Heading1"/>
      </w:pPr>
      <w:r>
        <w:t>Materials and Methods</w:t>
      </w:r>
    </w:p>
    <w:p>
      <w:pPr>
        <w:pStyle w:val="Heading2"/>
      </w:pPr>
      <w:r>
        <w:t>Portfolio strategies and analytical contract</w:t>
      </w:r>
    </w:p>
    <w:p>
      <w:pPr/>
      <w:r>
        <w:t>The analytical unit was a six-program development portfolio. The diversified strategy assigned each program to an independent asset and biological cluster. PIAP assigned all six programs to one asset. MSOG assigned programs to shared-biology clusters of three. Programs began in Phase 2 and could progress through Phase 3 and regulatory review to launch. Marginal phase probabilities, benchmark costs, revenue, and discounting were identical across strategies in the primary flat benchmark. This matched-opportunity contract ensured that topology, rather than opportunity quality, generated the central contrast.</w:t>
      </w:r>
    </w:p>
    <w:p>
      <w:pPr/>
      <w:r>
        <w:t>The six-program design is intentionally small enough to audit and large enough to illustrate a plausible concentrated portfolio. It does not claim to reproduce a particular company. All monetary values are constant 2026 US dollars in millions. Results are decision-model outputs under stated assumptions, not forecasts for any named product or sponsor. Benchmark assumptions and risk policies are summarized in Table 1.</w:t>
      </w:r>
    </w:p>
    <w:p>
      <w:pPr>
        <w:pStyle w:val="Heading2"/>
      </w:pPr>
      <w:r>
        <w:t>Technical dependence</w:t>
      </w:r>
    </w:p>
    <w:p>
      <w:pPr/>
      <w:r>
        <w:t>Dependence was generated with a Gaussian latent-factor construction. For program i in cluster g, latent technical performance was Z_ig = sqrt(rho_g)F_g + sqrt(1-rho_g)epsilon_ig, where F_g and epsilon_ig are independent standard normal variables. Thresholds were chosen to preserve each program's marginal phase-transition probability. Shared factors therefore changed the joint distribution without changing the benchmark mean success probability. The principal anchors were rho=0.415 for same-asset PIAP and rho=0.250 for shared-biology MSOG, informed by the magnitude and hierarchy of empirical estimates reported by Dai et al [1]. These are scenario inputs rather than estimates from the simulated data.</w:t>
      </w:r>
    </w:p>
    <w:p>
      <w:pPr/>
      <w:r>
        <w:t>The mean-preserving construction separates technical concentration from commercial and operating mechanisms. R&amp;D cost synergy reduces follower-program development costs. Acceleration advances follower milestones and launch dates. Cannibalization reduces revenue when related products coexist. Commercial support synergy reduces duplicated post-launch operating cost. Common-shock scenarios can terminate correlated Phase 3 programs while maintaining marginal parity. Each mechanism enters independently so its economic effect remains interpretable.</w:t>
      </w:r>
    </w:p>
    <w:p>
      <w:pPr>
        <w:pStyle w:val="Heading2"/>
      </w:pPr>
      <w:r>
        <w:t>Cash flows and value metrics</w:t>
      </w:r>
    </w:p>
    <w:p>
      <w:pPr/>
      <w:r>
        <w:t>Development spending occurred over phase-specific durations. Approved programs generated a five-year ramp to peak sales, an 80% contribution margin, and annual commercial support cost until LOE. Sales fell to 10% of pre-expiry level after LOE. Cash flows were discounted at 10%. A stylized legacy franchise supplied enterprise cash flow before its year-8 LOE and then declined to a 15% terminal fraction. Fixed operating cost was $1.25 billion per year. This enterprise layer allowed otherwise identical project NPVs to produce different financing-capacity outcomes.</w:t>
      </w:r>
    </w:p>
    <w:p>
      <w:pPr/>
      <w:r>
        <w:t>Primary economic metrics were eNPV, ePI, the fifth percentile of portfolio NPV (P5), and CVaR5, defined as the mean NPV among the worst 5% of outcomes. Effective breadth was the number of independent programs that would produce the same variance in launch count as the correlated portfolio. Capacity breach occurred when cumulative enterprise funding need exceeded starting liquidity plus financing capacity while maintaining the required reserve. We report base and high capacity profiles. Risk appetite was treated as the direction and amount of risk an organization is willing to pursue for strategic benefit. Risk tolerance was represented by numerical P5, breach-probability, and launch-service limits. Risk capacity was the modeled financial ability to absorb adverse cash-flow paths [2,3].</w:t>
      </w:r>
    </w:p>
    <w:p>
      <w:pPr>
        <w:pStyle w:val="Heading2"/>
      </w:pPr>
      <w:r>
        <w:t>Decision rules</w:t>
      </w:r>
    </w:p>
    <w:p>
      <w:pPr/>
      <w:r>
        <w:t>A concentrated strategy cleared its synergy frontier when it met three conditions simultaneously: eNPV was no worse than diversification within a $25 million decision tolerance; P5 NPV satisfied the selected risk policy; and capacity-breach probability did not exceed the policy maximum. The minimum R&amp;D saving on follower programs satisfying all three conditions was recorded. A cell with no feasible saving through 30% was classified as unsolved. The primary policy paired high financial capacity with balanced tolerances. The secondary stress test paired base capacity with growth tolerances.</w:t>
      </w:r>
    </w:p>
    <w:p>
      <w:pPr/>
      <w:r>
        <w:t>Launch cadence was modeled as a service-level problem. For each topology and nominal breadth, we estimated the probability of achieving at least N launches within a rolling three-year period. The primary target was at least two launches with 80% reliability. This metric represents one operational objective. It does not substitute for NPV, ePI, protected runway, strategic fit, or therapeutic value. Several late launches can satisfy a count target while contributing little value if pivotal development was delayed and exclusivity is short.</w:t>
      </w:r>
    </w:p>
    <w:p>
      <w:pPr>
        <w:pStyle w:val="Heading2"/>
      </w:pPr>
      <w:r>
        <w:t>Experiments and precision</w:t>
      </w:r>
    </w:p>
    <w:p>
      <w:pPr/>
      <w:r>
        <w:t>The mechanism-isolation pilot used 10,000 runs per cell. Decision-frontier experiments used 100,000 primary paths and 250,000 paths at decision boundaries. Common random numbers paired strategies and economic transformations on the same technical paths. We varied R&amp;D saving from 0% to 30%, acceleration from zero to 1.5 years, LOE at years 12, 15, and 18, cannibalization from 0% to 50%, and organizational capacity and policy profiles. Staged PIAP delayed follower programs until the lead indication generated information; parallel PIAP initiated all six programs without waiting. Additivity-regret analysis selected a strategy under independence and additive revenue, then valued that choice under the specified dependence and cannibalization truth.</w:t>
      </w:r>
    </w:p>
    <w:p>
      <w:pPr>
        <w:pStyle w:val="Heading2"/>
      </w:pPr>
      <w:r>
        <w:t>Matched-heterogeneity robustness</w:t>
      </w:r>
    </w:p>
    <w:p>
      <w:pPr/>
      <w:r>
        <w:t>The robustness analysis replaced flat opportunities with 1,000 Latin hypercube samples [4]. Each cell contained the same multiset of six opportunities for every portfolio topology and preserved the same program assignment. Cumulative pTRS followed a triangular distribution with limits 0.075 and 0.227 and mode 0.151. Development-cost multipliers ranged from 0.70 to 1.30, peak-sales multipliers from 0.50 to 1.50, and phase durations varied within prespecified ranges. This design introduced plausible between-program variance without allowing one strategy to receive better assets.</w:t>
      </w:r>
    </w:p>
    <w:p>
      <w:pPr/>
      <w:r>
        <w:t>For each heterogeneous cell, we enumerated all 4^6 realized program-state combinations and integrated the Gaussian factor with 32-node Gauss-Hermite quadrature. Exact integration removed screening noise from the 1,000-cell frontier. Eight near-boundary cells were independently confirmed with 250,000 Monte Carlo paths each. The exact-versus-Monte Carlo coverage target was at least 75% for eNPV and breach intervals. Maximum permitted half-widths were $25 million for eNPV differences and 0.25 percentage points for decision probabilities.</w:t>
      </w:r>
    </w:p>
    <w:p>
      <w:pPr>
        <w:pStyle w:val="Heading1"/>
      </w:pPr>
      <w:r>
        <w:t>Results</w:t>
      </w:r>
    </w:p>
    <w:p>
      <w:pPr>
        <w:pStyle w:val="Heading2"/>
      </w:pPr>
      <w:r>
        <w:t>Dependence preserves mean economics and consumes tail capacity</w:t>
      </w:r>
    </w:p>
    <w:p>
      <w:pPr/>
      <w:r>
        <w:t>Under additive flat economics, the three six-program strategies had nearly identical expected value. Diversification produced eNPV of $84.2 million and ePI of 0.077. PIAP without cost synergy produced eNPV of $84.6 million and ePI of 0.077. The distribution differed materially. PIAP standard deviation was $1.223 billion compared with $0.938 billion under diversification; P5 declined from -$1.148 billion to -$1.179 billion, and CVaR5 declined from -$1.232 billion to -$1.597 billion. The probability of zero launches increased from 37.4% to 51.1%. Six PIAP programs supplied 3.19 variance-equivalent independent shots. MSOG occupied an intermediate position. The comparative portfolio scorecard is shown in Table 2.</w:t>
      </w:r>
    </w:p>
    <w:p>
      <w:pPr>
        <w:pStyle w:val="Heading2"/>
      </w:pPr>
      <w:r>
        <w:t>The synergy threshold depends on runway and organizational capacity</w:t>
      </w:r>
    </w:p>
    <w:p>
      <w:pPr/>
      <w:r>
        <w:t>At rho=0.415, LOE in year 15, no acceleration, and a high-capacity balanced policy, PIAP required 20% follower R&amp;D saving. At that point eNPV exceeded diversification by $184 million, P5 was -$996 million, and high-capacity breach probability was 4.66%. The frontier was governed by the simultaneous constraints rather than value alone. Moving LOE to year 12 raised required saving to 27%. A base-capacity sponsor remained infeasible even at 30% saving; breach probability was 57.9%. The economic attractiveness of concentration and the ability to survive its cash-flow path were distinct decisions.</w:t>
      </w:r>
    </w:p>
    <w:p>
      <w:pPr/>
      <w:r>
        <w:t>Cannibalization changed expected economics. At 25% overlap, the flat PIAP frontier still occurred at 20% saving, yet its eNPV advantage over diversification fell to $5.4 million. At 50% overlap, no PIAP solution existed through 30% saving. Commercial support savings alone did not generate a feasible PIAP solution through 40%, because post-launch operating economies did not address the same timing and tail constraints as upstream R&amp;D saving. The combined decision surface is shown in Figure 1, and the capacity constraint is isolated in Figure 2.</w:t>
      </w:r>
    </w:p>
    <w:p>
      <w:pPr>
        <w:pStyle w:val="Heading2"/>
      </w:pPr>
      <w:r>
        <w:t>Staging saves development cost and can destroy option value through delay</w:t>
      </w:r>
    </w:p>
    <w:p>
      <w:pPr/>
      <w:r>
        <w:t>In the flat central case, staging reduced expected development cost by $115.9 million and peak annual R&amp;D by $47.7 million. It reduced eNPV by $440.6 million, worsened P5 by $151.6 million, and increased base-capacity breach probability by 6.38 percentage points. The probability of two launches by year 9 fell from 24.1% to zero, and mean protected runway per launch fell from 9.0 to 6.3 years. CVaR5 improved because staging limited spending in the most adverse technical states, but the delayed-revenue effect dominated expected economics and the P5 decision boundary.</w:t>
      </w:r>
    </w:p>
    <w:p>
      <w:pPr/>
      <w:r>
        <w:t>This result clarifies why a count-only launch target can be misleading. Parallel development places more capital at risk before evidence matures. Staging protects early cash but may shift technically successful programs into shorter commercial windows. The decision should therefore report launch timing, protected runway, eNPV, ePI, and financing need together. The parallel-staged tradeoff is summarized in Figure 3.</w:t>
      </w:r>
    </w:p>
    <w:p>
      <w:pPr>
        <w:pStyle w:val="Heading2"/>
      </w:pPr>
      <w:r>
        <w:t>Launch-service targets reveal hidden concentration</w:t>
      </w:r>
    </w:p>
    <w:p>
      <w:pPr/>
      <w:r>
        <w:t>Under flat marginal probabilities, an 80% probability of at least two launches per rolling three-year period required 19 diversified starts, 20 MSOG starts, or 25 PIAP starts. In the heterogeneous robustness analysis, the corresponding nominal breadths were 19, 21, and 25. PIAP therefore required 32% more nominal starts than diversification to provide the same operational service target. Its effective breadth at the frontier was 12.25 compared with 19.02 for diversification. The launch-service metric made clustering visible in a form directly relevant to portfolio planning.</w:t>
      </w:r>
    </w:p>
    <w:p>
      <w:pPr/>
      <w:r>
        <w:t>Launch rate remains one objective. It rewards timing and frequency, not value. A portfolio can create several short-runway launches by delaying pivotal work until the first approval, yet each later launch may contribute less NPV. Service targets should therefore be paired with protected runway and value-based criteria, never used as a stand-alone portfolio score. The launch-service frontiers are shown in Figure 4.</w:t>
      </w:r>
    </w:p>
    <w:p>
      <w:pPr>
        <w:pStyle w:val="Heading2"/>
      </w:pPr>
      <w:r>
        <w:t>Matched heterogeneity converts a point estimate into a decision distribution</w:t>
      </w:r>
    </w:p>
    <w:p>
      <w:pPr/>
      <w:r>
        <w:t>Across 1,000 matched heterogeneous opportunity sets, the PIAP frontier existed in 83.0% of cells. The median required R&amp;D saving was 23%, with a 10th-90th percentile range of 15%-29%. Only 25.6% of all cells cleared by 20% saving, and 57.5% cleared by 25%. With 25% cannibalization, the median remained 23%, but only 20.5% cleared by 20%. MSOG was more frequently feasible: 94.1% of cells had a solution and the median frontier was 20%.</w:t>
      </w:r>
    </w:p>
    <w:p>
      <w:pPr/>
      <w:r>
        <w:t>Mean development-cost intensity was the strongest univariate correlate of required synergy (Spearman rho=0.72 for PIAP and 0.83 for MSOG). Opportunity quality was inversely associated with the frontier (rho=-0.40 and -0.42). Sales dispersion had little univariate association. These relationships are descriptive because the Latin hypercube variables and the nonlinear decision constraints interact. Their practical implication is straightforward: a single 20% synergy assumption should not be carried from one portfolio to another without re-estimating the opportunity mix. Frontier distributions are shown in Figure 5, and key decision outputs are summarized in Table 3.</w:t>
      </w:r>
    </w:p>
    <w:p>
      <w:pPr>
        <w:pStyle w:val="Heading2"/>
      </w:pPr>
      <w:r>
        <w:t>Wrong dependence and revenue assumptions create measurable regret</w:t>
      </w:r>
    </w:p>
    <w:p>
      <w:pPr/>
      <w:r>
        <w:t>At 10% R&amp;D saving and 25% true cannibalization, an additive model selected PIAP in all 1,000 heterogeneous cells. The true oracle selected diversification in all cells. Median eNPV regret was $59 million, the 90th percentile was $94 million, and the maximum was $160 million. Regret exceeded $50 million in 63.7% of cells and $100 million in 7.0%. In the flat plausible grid, maximum eNPV regret reached $135.6 million, P5 shortfall reached $279.8 million, and incremental capacity breach reached 14.2 percentage points. The resulting regret surface is shown in Figure 6.</w:t>
      </w:r>
    </w:p>
    <w:p>
      <w:pPr>
        <w:pStyle w:val="Heading2"/>
      </w:pPr>
      <w:r>
        <w:t>Numerical validation</w:t>
      </w:r>
    </w:p>
    <w:p>
      <w:pPr/>
      <w:r>
        <w:t>All prespecified E8 numerical checks passed. The largest eNPV half-width among boundary confirmations was $6.9 million. The largest breach-probability half-width was 0.082 percentage points. Exact estimates fell within the Monte Carlo intervals in 75% of selected cells for both eNPV and breach probability, meeting the predeclared criterion. The exact flat reconstruction differed from the 250,000-path benchmark by $1.1 million for diversified eNPV, $0.7 million for PIAP eNPV at 20% saving, and 0.019 percentage points for high-capacity breach probability. Additional numerical methods and validation checks are provided in the Supplementary Material.</w:t>
      </w:r>
    </w:p>
    <w:p>
      <w:pPr>
        <w:pStyle w:val="Heading1"/>
      </w:pPr>
      <w:r>
        <w:t>Discussion</w:t>
      </w:r>
    </w:p>
    <w:p>
      <w:pPr>
        <w:pStyle w:val="Heading2"/>
      </w:pPr>
      <w:r>
        <w:t>Principal finding</w:t>
      </w:r>
    </w:p>
    <w:p>
      <w:pPr/>
      <w:r>
        <w:t>The main result is a decision frontier rather than a demonstration that correlation exists. Concentration buys operational and commercial synergy by exchanging independent breadth for clustered outcomes and earlier capital commitment. The relevant question is whether the synergy exceeds the strategy-specific threshold while the organization remains within its tolerance and capacity. In the central flat benchmark, 20% follower R&amp;D saving was enough for a high-capacity sponsor with balanced limits. Matched heterogeneity showed that this point estimate represented only the lower quarter of the PIAP opportunity distribution: 74.4% of sampled portfolios did not clear by 20%, and 17.0% did not clear by 30%.</w:t>
      </w:r>
    </w:p>
    <w:p>
      <w:pPr/>
      <w:r>
        <w:t>This framing makes empirical correlation estimates complementary to portfolio decision analysis. Observed dependence informs rho and the hierarchy of shared risks [1]. The model translates those inputs into effective breadth, lower-tail value, launch reliability, financing need, and the synergy required to proceed. A company can substitute its own clinical assumptions, product cash flows, LOE dates, and capital constraints without changing the decision logic.</w:t>
      </w:r>
    </w:p>
    <w:p>
      <w:pPr>
        <w:pStyle w:val="Heading2"/>
      </w:pPr>
      <w:r>
        <w:t>Risk appetite, tolerance, and capacity</w:t>
      </w:r>
    </w:p>
    <w:p>
      <w:pPr/>
      <w:r>
        <w:t>Risk appetite belongs at the strategic level. A sponsor may deliberately accept concentrated technical exposure to accelerate a franchise, exploit a platform, or capture protected revenue. Risk tolerance turns that appetite into limits that can be tested, such as a maximum 10% probability of breaching financing capacity or a minimum P5 portfolio NPV. Risk capacity is harder: it reflects liquidity, financing access, reserves, and the ability to continue operating after a clustered failure. Capacity can be lower than appetite. The zero-solution result for the base-capacity sponsor illustrates this constraint.</w:t>
      </w:r>
    </w:p>
    <w:p>
      <w:pPr/>
      <w:r>
        <w:t>A useful governance sequence follows. The portfolio team first quantifies expected synergy and acceleration. Risk owners then state P5, capacity-breach, and launch-service limits before seeing the preferred strategy. Finance specifies credible funding headroom and reserves. The model identifies the feasible set and reports which constraint binds. Executives can still choose outside that set, but the decision becomes an explicit risk acceptance rather than an accidental consequence of nominal project count.</w:t>
      </w:r>
    </w:p>
    <w:p>
      <w:pPr>
        <w:pStyle w:val="Heading2"/>
      </w:pPr>
      <w:r>
        <w:t>Where synergies can justify concentration</w:t>
      </w:r>
    </w:p>
    <w:p>
      <w:pPr/>
      <w:r>
        <w:t>PIAP and MSOG can create genuine benefits. Shared assays, translational models, biomarker strategy, manufacturing, trial infrastructure, regulatory knowledge, and site networks can reduce cost or duration. Commercially, related indications may share medical affairs, market access, patient identification, and field infrastructure. A multi-indication asset may also establish a coherent franchise and preserve strategic control. These benefits should enter the model in the mechanism where they arise. Upstream R&amp;D saving affects investment before success is known. Acceleration affects the timing and protected life of successful programs. Commercial support saving affects post-launch cost. Revenue cannibalization affects the incremental value of coexistence. A single undifferentiated synergy percentage can obscure these distinctions.</w:t>
      </w:r>
    </w:p>
    <w:p>
      <w:pPr/>
      <w:r>
        <w:t>The result does not argue for universal diversification. High-capacity organizations can rationally accept more concentration when the expected synergy is credible, protected runway is long, and the lower tail remains within policy. The same portfolio can be inappropriate for a firm with less liquidity or refinancing access. Acquisition, partnering, indication sequencing, and portfolio pruning can be evaluated as ways to change either the concentration geometry or the sponsor's exposure to adverse states.</w:t>
      </w:r>
    </w:p>
    <w:p>
      <w:pPr>
        <w:pStyle w:val="Heading2"/>
      </w:pPr>
      <w:r>
        <w:t>Practical output for readers</w:t>
      </w:r>
    </w:p>
    <w:p>
      <w:pPr/>
      <w:r>
        <w:t>The reproducible output is a compact decision package rather than a semiquantitative warning. It contains five linked products: a topology map of shared asset and biology risks; a benchmark cash-flow model; a synergy-versus-capacity frontier; a tail and launch-service scorecard; and an assumption-regret analysis. A portfolio team can reproduce the framework with internal inputs and state the decision as: the concentrated strategy requires at least X% R&amp;D saving or Y years of acceleration, remains within a Z% capacity-breach tolerance, delivers an A% probability of the launch target, and carries B dollars of downside relative to diversification.</w:t>
      </w:r>
    </w:p>
    <w:p>
      <w:pPr/>
      <w:r>
        <w:t>Several heuristics follow from the simulations. Nominal program count should be accompanied by effective breadth. Concentration decisions should report P5 or CVaR and funding-need distributions beside eNPV and ePI. Launch-rate targets should include protected runway or value per launch. Cannibalization should be applied to incremental coexistence revenue rather than treated as a generic haircut. Staging should be valued as an option with both learning benefits and revenue-delay costs. Every recommendation should identify the binding risk constraint and the assumption that would reverse the choice.</w:t>
      </w:r>
    </w:p>
    <w:p>
      <w:pPr>
        <w:pStyle w:val="Heading2"/>
      </w:pPr>
      <w:r>
        <w:t>Relation to prior work</w:t>
      </w:r>
    </w:p>
    <w:p>
      <w:pPr/>
      <w:r>
        <w:t>Portfolio optimization and risk-adjusted valuation have long been applied to pharmaceutical R&amp;D [5-10]. Empirical studies have refined phase-transition rates and clinical-development cost benchmarks [11-16]. Recent TIRS analyses have used eNPV to quantify development efficiency and the financial value of time [17,18]. The present analysis adds a governance layer around recently measured dependence [1]. Its distinguishing output is the compensating-synergy distribution subject to explicit tail, financing-capacity, and launch-service requirements. The model also separates technical dependence from commercial non-additivity, which produce different changes in mean and variance.</w:t>
      </w:r>
    </w:p>
    <w:p>
      <w:pPr>
        <w:pStyle w:val="Heading2"/>
      </w:pPr>
      <w:r>
        <w:t>Limitations</w:t>
      </w:r>
    </w:p>
    <w:p>
      <w:pPr/>
      <w:r>
        <w:t>The study is a stylized decision analysis. The benchmark probabilities, costs, sales, and timing parameters are illustrative and should not be read as current industry forecasts. The flat benchmark intentionally suppresses opportunity variance to isolate mechanisms. The matched-heterogeneity ranges provide robustness without estimating a joint empirical distribution. The latent Gaussian factor is transparent and tractable, but tail dependence or event-specific shared hazards may require alternative copulas or hierarchical event models. Phase transitions are represented at a level suitable for portfolio policy, not clinical-program forecasting.</w:t>
      </w:r>
    </w:p>
    <w:p>
      <w:pPr/>
      <w:r>
        <w:t>Cannibalization is a scenario parameter rather than a causal estimate from patient flow, market share, or line-of-therapy data. Commercial synergies and strategic option value may extend beyond modeled support costs. The legacy-company layer is deliberately simple and does not include taxes, capital structure, business development, multiple franchises, or endogenous financing terms. The rolling launch analysis treats a planning window rather than a fully dynamic calendar portfolio. Results can change when projects are acquired, partnered, reprioritized, or terminated in response to new information.</w:t>
      </w:r>
    </w:p>
    <w:p>
      <w:pPr/>
      <w:r>
        <w:t>The risk policies are examples. They show how governance changes the feasible set, not what any sponsor should tolerate. Fractional Kelly or utility-based sizing could extend the allocation problem, especially when repeated investment opportunities and enterprise wealth are modeled. That extension would require stronger assumptions about utility, repeatability, and capital replenishment and is outside the current scope. Empirical calibration to company-specific revenue, LOE, and funding trajectories is the logical next application.</w:t>
      </w:r>
    </w:p>
    <w:p>
      <w:pPr>
        <w:pStyle w:val="Heading1"/>
      </w:pPr>
      <w:r>
        <w:t>Conclusion</w:t>
      </w:r>
    </w:p>
    <w:p>
      <w:pPr/>
      <w:r>
        <w:t>Pipeline-in-a-pill and multiple-shots-on-goal strategies should be assessed as concentrated bets with measurable synergies and measurable claims on risk capacity. When marginal technical success probabilities and additive economics are held constant, dependence primarily changes variance, lower-tail value, launch reliability, and effective breadth. Synergy, acceleration, and cannibalization determine whether the mean economics compensate for that distributional change. The resulting frontier is specific to the opportunity set and the organization. A single company-wide correlation haircut or nominal launch target cannot replace it.</w:t>
      </w:r>
    </w:p>
    <w:p>
      <w:pPr/>
      <w:r>
        <w:t>The framework gives portfolio committees a practical headline output: the minimum synergy required to justify concentration within stated P5, financing-capacity, and launch-service limits. Expressing the decision in dollars and service levels makes the consequence of a wrong independence or additivity assumption visible before capital is committed.</w:t>
      </w:r>
    </w:p>
    <w:p>
      <w:pPr>
        <w:pStyle w:val="Heading1"/>
      </w:pPr>
      <w:r>
        <w:t>Funding</w:t>
      </w:r>
    </w:p>
    <w:p>
      <w:pPr/>
      <w:r>
        <w:t>No external funding was received for this study. The author received travel support from Iambic Therapeutics to present an earlier version of this work at the Society for Decision Professionals conference. That travel support did not fund the research, analysis, or manuscript preparation, and Iambic Therapeutics had no role in the conception, design, conduct, interpretation, preparation, or decision to submit this manuscript.</w:t>
      </w:r>
    </w:p>
    <w:p>
      <w:pPr>
        <w:pStyle w:val="Heading1"/>
      </w:pPr>
      <w:r>
        <w:t>Conflict of Interest</w:t>
      </w:r>
    </w:p>
    <w:p>
      <w:pPr/>
      <w:r>
        <w:t>The author is employed by Iambic Therapeutics. This work was conducted independently and does not represent the views of Iambic Therapeutics. The author declares no other competing interests relevant to this work.</w:t>
      </w:r>
    </w:p>
    <w:p>
      <w:pPr>
        <w:pStyle w:val="Heading1"/>
      </w:pPr>
      <w:r>
        <w:t>Author Contributions</w:t>
      </w:r>
    </w:p>
    <w:p>
      <w:pPr/>
      <w:r>
        <w:t>Michael R. Doane: Conceptualization, Methodology, Software, Validation, Formal Analysis, Investigation, Data Curation, Visualization, Writing - Original Draft, Writing - Review and Editing, and Project Administration. The author approved the submitted version and accepts responsibility for the accuracy and integrity of the work.</w:t>
      </w:r>
    </w:p>
    <w:p>
      <w:pPr>
        <w:pStyle w:val="Heading1"/>
      </w:pPr>
      <w:r>
        <w:t>Data Availability</w:t>
      </w:r>
    </w:p>
    <w:p>
      <w:pPr/>
      <w:r>
        <w:t>The code, machine-readable configuration files, simulated data, decision-cell outputs, validation reports, and figures that support this study are included in the accompanying versioned reproducibility package. A public archival repository and persistent identifier will be supplied during the publication process.</w:t>
      </w:r>
    </w:p>
    <w:p>
      <w:pPr>
        <w:pStyle w:val="Heading1"/>
      </w:pPr>
      <w:r>
        <w:t>Ethics Approval and Consent to Participate</w:t>
      </w:r>
    </w:p>
    <w:p>
      <w:pPr/>
      <w:r>
        <w:t>Not applicable. This study used simulated data and published aggregate parameters. No human participants, identifiable records, animals, or clinical interventions were involved.</w:t>
      </w:r>
    </w:p>
    <w:p>
      <w:pPr>
        <w:pStyle w:val="Heading1"/>
      </w:pPr>
      <w:r>
        <w:t>Acknowledgements</w:t>
      </w:r>
    </w:p>
    <w:p>
      <w:pPr/>
      <w:r>
        <w:t>The author thanks colleagues whose discussions at the Society for Decision Professionals conference helped sharpen the distinctions among technical dependence, commercial overlap, and organizational risk capacity. No individual is named without permission. Generative AI tools from OpenAI were used under the author's direction to assist with code generation, quality control, literature organization, figure preparation, and language editing. All analytical specifications, code review, verification, interpretation, and final text were controlled and approved by the author. No generative AI was used to create simulated data or images.</w:t>
      </w:r>
    </w:p>
    <w:p>
      <w:pPr>
        <w:pStyle w:val="Heading1"/>
      </w:pPr>
      <w:r>
        <w:t>References</w:t>
      </w:r>
    </w:p>
    <w:p>
      <w:pPr>
        <w:ind w:left="432" w:hanging="432"/>
      </w:pPr>
      <w:r>
        <w:t>1. Dai Y, Lo AW, Singh M, et al. Estimating correlations between clinical trial outcomes using generalised estimating equations. Oxf Bull Econ Stat. 2026;88(3):553-567. doi:10.1111/obes.70025.</w:t>
      </w:r>
    </w:p>
    <w:p>
      <w:pPr>
        <w:ind w:left="432" w:hanging="432"/>
      </w:pPr>
      <w:r>
        <w:t>2. Committee of Sponsoring Organizations of the Treadway Commission. Risk appetite: critical to success. COSO; 2020.</w:t>
      </w:r>
    </w:p>
    <w:p>
      <w:pPr>
        <w:ind w:left="432" w:hanging="432"/>
      </w:pPr>
      <w:r>
        <w:t>3. Institute of Risk Management. Risk appetite and tolerance: guidance paper. London: IRM; 2011.</w:t>
      </w:r>
    </w:p>
    <w:p>
      <w:pPr>
        <w:ind w:left="432" w:hanging="432"/>
      </w:pPr>
      <w:r>
        <w:t>4. McKay MD, Beckman RJ, Conover WJ. A comparison of three methods for selecting values of input variables in the analysis of output from a computer code. Technometrics. 1979;21(2):239-245. doi:10.1080/00401706.1979.10489755.</w:t>
      </w:r>
    </w:p>
    <w:p>
      <w:pPr>
        <w:ind w:left="432" w:hanging="432"/>
      </w:pPr>
      <w:r>
        <w:t>5. Blau GE, Pekny JF, Varma VA, et al. Managing a portfolio of interdependent new product candidates in the pharmaceutical industry. J Prod Innov Manag. 2004;21(4):227-245. doi:10.1111/j.0737-6782.2004.00075.x.</w:t>
      </w:r>
    </w:p>
    <w:p>
      <w:pPr>
        <w:ind w:left="432" w:hanging="432"/>
      </w:pPr>
      <w:r>
        <w:t>6. Lo AW, Siah KW. Financing correlated drug development projects. J Struct Finance. 2021;27(1):17-34. doi:10.3905/jsf.2020.1.114.</w:t>
      </w:r>
    </w:p>
    <w:p>
      <w:pPr>
        <w:ind w:left="432" w:hanging="432"/>
      </w:pPr>
      <w:r>
        <w:t>7. Fernandez JM, Stein RM, Lo AW. Commercializing biomedical research through securitization techniques. Nat Biotechnol. 2012;30:964-975. doi:10.1038/nbt.2374.</w:t>
      </w:r>
    </w:p>
    <w:p>
      <w:pPr>
        <w:ind w:left="432" w:hanging="432"/>
      </w:pPr>
      <w:r>
        <w:t>8. Wiklund SJ. A modeling framework for pharmaceutical R&amp;D portfolio management. J Biopharm Stat. 2021;31(6):788-808. doi:10.1080/10543406.2021.1975129.</w:t>
      </w:r>
    </w:p>
    <w:p>
      <w:pPr>
        <w:ind w:left="432" w:hanging="432"/>
      </w:pPr>
      <w:r>
        <w:t>9. Rockafellar RT, Uryasev S. Optimization of conditional value-at-risk. J Risk. 2000;2(3):21-42.</w:t>
      </w:r>
    </w:p>
    <w:p>
      <w:pPr>
        <w:ind w:left="432" w:hanging="432"/>
      </w:pPr>
      <w:r>
        <w:t>10. Jekunen A. Decision-making in product portfolios of pharmaceutical research and development: managing streams of innovation in highly regulated markets. Drug Des Devel Ther. 2014;8:2009-2016. doi:10.2147/DDDT.S68579.</w:t>
      </w:r>
    </w:p>
    <w:p>
      <w:pPr>
        <w:ind w:left="432" w:hanging="432"/>
      </w:pPr>
      <w:r>
        <w:t>11. Wong CH, Siah KW, Lo AW. Estimation of clinical trial success rates and related parameters. Biostatistics. 2019;20(2):273-286. doi:10.1093/biostatistics/kxx069.</w:t>
      </w:r>
    </w:p>
    <w:p>
      <w:pPr>
        <w:ind w:left="432" w:hanging="432"/>
      </w:pPr>
      <w:r>
        <w:t>12. Hay M, Thomas DW, Craighead JL, et al. Clinical development success rates for investigational drugs. Nat Biotechnol. 2014;32:40-51. doi:10.1038/nbt.2786.</w:t>
      </w:r>
    </w:p>
    <w:p>
      <w:pPr>
        <w:ind w:left="432" w:hanging="432"/>
      </w:pPr>
      <w:r>
        <w:t>13. Biotechnology Innovation Organization, Informa Pharma Intelligence, QLS Advisors. Clinical development success rates and contributing factors 2011-2020. Washington, DC: BIO; 2021.</w:t>
      </w:r>
    </w:p>
    <w:p>
      <w:pPr>
        <w:ind w:left="432" w:hanging="432"/>
      </w:pPr>
      <w:r>
        <w:t>14. Sertkaya A, Beleche T, Jessup A, et al. Estimated research and development investment needed to bring a new medicine to market, 2009-2018. JAMA Netw Open. 2024;7:e2415445. doi:10.1001/jamanetworkopen.2024.15445.</w:t>
      </w:r>
    </w:p>
    <w:p>
      <w:pPr>
        <w:ind w:left="432" w:hanging="432"/>
      </w:pPr>
      <w:r>
        <w:t>15. DiMasi JA, Grabowski HG, Hansen RW. Innovation in the pharmaceutical industry: new estimates of R&amp;D costs. J Health Econ. 2016;47:20-33. doi:10.1016/j.jhealeco.2016.01.012.</w:t>
      </w:r>
    </w:p>
    <w:p>
      <w:pPr>
        <w:ind w:left="432" w:hanging="432"/>
      </w:pPr>
      <w:r>
        <w:t>16. Mulcahy A, Rennane S, Schwam D, et al. Use of clinical trial characteristics to estimate costs of new drug development. JAMA Netw Open. 2025;8(1):e2453275. doi:10.1001/jamanetworkopen.2024.53275.</w:t>
      </w:r>
    </w:p>
    <w:p>
      <w:pPr>
        <w:ind w:left="432" w:hanging="432"/>
      </w:pPr>
      <w:r>
        <w:t>17. Dirks A, de Viron S, McFarlane K, et al. Quantifying the financial return on investment of risk-based quality management implementation in clinical development. Ther Innov Regul Sci. 2026. doi:10.1007/s43441-026-01002-1.</w:t>
      </w:r>
    </w:p>
    <w:p>
      <w:pPr>
        <w:ind w:left="432" w:hanging="432"/>
      </w:pPr>
      <w:r>
        <w:t>18. Smith ZP, DiMasi JA, Getz KA. New estimates on the cost of a delay day in drug development. Ther Innov Regul Sci. 2024;58(5):855-862.</w:t>
      </w:r>
    </w:p>
    <w:p>
      <w:pPr>
        <w:pStyle w:val="Heading1"/>
      </w:pPr>
      <w:r>
        <w:t>Figure Legends</w:t>
      </w:r>
    </w:p>
    <w:p>
      <w:pPr/>
      <w:r>
        <w:t>Figure 1. Concentration decision map under flat benchmark economics. The frontier is the minimum follower R&amp;D saving that makes a concentrated strategy value-noninferior to diversification and compliant with the selected fifth-percentile NPV and financing-capacity limits. PIAP, pipeline in a pill; MSOG, multiple shots on goal; LOE, loss of exclusivity.</w:t>
      </w:r>
    </w:p>
    <w:p>
      <w:pPr/>
      <w:r>
        <w:t>Figure 2. Risk capacity changes the feasible set. Expected synergy can satisfy value and tail criteria while the strategy remains outside the organization's financing capacity. The base-capacity PIAP case remains infeasible at 30% follower R&amp;D saving.</w:t>
      </w:r>
    </w:p>
    <w:p>
      <w:pPr/>
      <w:r>
        <w:t>Figure 3. Parallel versus staged pipeline-in-a-pill development. Staging reduces expected development cost and peak R&amp;D spending. Delayed launches reduce expected net present value, protected runway, and near-term launch reliability. PIAP, pipeline in a pill; LOE, loss of exclusivity.</w:t>
      </w:r>
    </w:p>
    <w:p>
      <w:pPr/>
      <w:r>
        <w:t>Figure 4. Nominal breadth required to satisfy rolling three-year launch-service targets under diversified, multiple-shots-on-goal, and pipeline-in-a-pill geometries. Technical dependence requires more nominal starts to provide the same launch reliability. MSOG, multiple shots on goal; PIAP, pipeline in a pill.</w:t>
      </w:r>
    </w:p>
    <w:p>
      <w:pPr/>
      <w:r>
        <w:t>Figure 5. Matched-heterogeneity robustness. The left panel shows the cumulative distribution of minimum R&amp;D saving needed to clear the high-capacity balanced frontier. The right panel summarizes the frontier across portfolio topology and cannibalization assumptions. PIAP, pipeline in a pill; MSOG, multiple shots on goal.</w:t>
      </w:r>
    </w:p>
    <w:p>
      <w:pPr/>
      <w:r>
        <w:t>Figure 6. Decision regret when concentration is selected under independence and additive revenue, then evaluated under technical dependence and cannibalization. Values show expected NPV regret across follower R&amp;D-saving and true-cannibalization assumptions. NPV, net present value.</w:t>
      </w:r>
    </w:p>
    <w:p>
      <w:r>
        <w:br w:type="page"/>
      </w:r>
    </w:p>
    <w:p>
      <w:pPr>
        <w:keepNext/>
        <w:spacing w:line="240" w:lineRule="auto"/>
      </w:pPr>
      <w:r>
        <w:rPr>
          <w:b/>
        </w:rPr>
        <w:t>Table 1. Benchmark assumptions, strategies, and risk policies</w:t>
      </w:r>
    </w:p>
    <w:tbl>
      <w:tblPr>
        <w:tblStyle w:val="TableGrid"/>
        <w:tblW w:type="auto" w:w="0"/>
        <w:jc w:val="center"/>
        <w:tblLook w:firstColumn="1" w:firstRow="1" w:lastColumn="0" w:lastRow="0" w:noHBand="0" w:noVBand="1" w:val="04A0"/>
      </w:tblPr>
      <w:tblGrid>
        <w:gridCol w:w="3120"/>
        <w:gridCol w:w="3120"/>
        <w:gridCol w:w="3120"/>
      </w:tblGrid>
      <w:tr>
        <w:trPr>
          <w:cantSplit/>
          <w:tblHeader w:val="true"/>
        </w:trPr>
        <w:tc>
          <w:tcPr>
            <w:tcW w:type="dxa" w:w="3120"/>
            <w:vAlign w:val="center"/>
          </w:tcPr>
          <w:p>
            <w:pPr>
              <w:spacing w:line="240" w:lineRule="auto" w:after="0"/>
            </w:pPr>
            <w:r>
              <w:rPr>
                <w:rFonts w:ascii="Times New Roman" w:hAnsi="Times New Roman"/>
                <w:b/>
                <w:sz w:val="16"/>
              </w:rPr>
              <w:t>Domain</w:t>
            </w:r>
          </w:p>
        </w:tc>
        <w:tc>
          <w:tcPr>
            <w:tcW w:type="dxa" w:w="3120"/>
            <w:vAlign w:val="center"/>
          </w:tcPr>
          <w:p>
            <w:pPr>
              <w:spacing w:line="240" w:lineRule="auto" w:after="0"/>
            </w:pPr>
            <w:r>
              <w:rPr>
                <w:rFonts w:ascii="Times New Roman" w:hAnsi="Times New Roman"/>
                <w:b/>
                <w:sz w:val="16"/>
              </w:rPr>
              <w:t>Assumption</w:t>
            </w:r>
          </w:p>
        </w:tc>
        <w:tc>
          <w:tcPr>
            <w:tcW w:type="dxa" w:w="3120"/>
            <w:vAlign w:val="center"/>
          </w:tcPr>
          <w:p>
            <w:pPr>
              <w:spacing w:line="240" w:lineRule="auto" w:after="0"/>
            </w:pPr>
            <w:r>
              <w:rPr>
                <w:rFonts w:ascii="Times New Roman" w:hAnsi="Times New Roman"/>
                <w:b/>
                <w:sz w:val="16"/>
              </w:rPr>
              <w:t>Primary value</w:t>
            </w:r>
          </w:p>
        </w:tc>
      </w:tr>
      <w:tr>
        <w:trPr>
          <w:cantSplit/>
        </w:trPr>
        <w:tc>
          <w:tcPr>
            <w:tcW w:type="dxa" w:w="3120"/>
            <w:vAlign w:val="center"/>
          </w:tcPr>
          <w:p>
            <w:pPr>
              <w:spacing w:line="240" w:lineRule="auto" w:after="0"/>
            </w:pPr>
            <w:r>
              <w:rPr>
                <w:rFonts w:ascii="Times New Roman" w:hAnsi="Times New Roman"/>
                <w:b w:val="0"/>
                <w:sz w:val="16"/>
              </w:rPr>
              <w:t>Portfolio</w:t>
            </w:r>
          </w:p>
        </w:tc>
        <w:tc>
          <w:tcPr>
            <w:tcW w:type="dxa" w:w="3120"/>
            <w:vAlign w:val="center"/>
          </w:tcPr>
          <w:p>
            <w:pPr>
              <w:spacing w:line="240" w:lineRule="auto" w:after="0"/>
            </w:pPr>
            <w:r>
              <w:rPr>
                <w:rFonts w:ascii="Times New Roman" w:hAnsi="Times New Roman"/>
                <w:b w:val="0"/>
                <w:sz w:val="16"/>
              </w:rPr>
              <w:t>Programs and topologies</w:t>
            </w:r>
          </w:p>
        </w:tc>
        <w:tc>
          <w:tcPr>
            <w:tcW w:type="dxa" w:w="3120"/>
            <w:vAlign w:val="center"/>
          </w:tcPr>
          <w:p>
            <w:pPr>
              <w:spacing w:line="240" w:lineRule="auto" w:after="0"/>
            </w:pPr>
            <w:r>
              <w:rPr>
                <w:rFonts w:ascii="Times New Roman" w:hAnsi="Times New Roman"/>
                <w:b w:val="0"/>
                <w:sz w:val="16"/>
              </w:rPr>
              <w:t>6; diversified, PIAP sixes, MSOG trios</w:t>
            </w:r>
          </w:p>
        </w:tc>
      </w:tr>
      <w:tr>
        <w:trPr>
          <w:cantSplit/>
        </w:trPr>
        <w:tc>
          <w:tcPr>
            <w:tcW w:type="dxa" w:w="3120"/>
            <w:vAlign w:val="center"/>
          </w:tcPr>
          <w:p>
            <w:pPr>
              <w:spacing w:line="240" w:lineRule="auto" w:after="0"/>
            </w:pPr>
            <w:r>
              <w:rPr>
                <w:rFonts w:ascii="Times New Roman" w:hAnsi="Times New Roman"/>
                <w:b w:val="0"/>
                <w:sz w:val="16"/>
              </w:rPr>
              <w:t>Technical</w:t>
            </w:r>
          </w:p>
        </w:tc>
        <w:tc>
          <w:tcPr>
            <w:tcW w:type="dxa" w:w="3120"/>
            <w:vAlign w:val="center"/>
          </w:tcPr>
          <w:p>
            <w:pPr>
              <w:spacing w:line="240" w:lineRule="auto" w:after="0"/>
            </w:pPr>
            <w:r>
              <w:rPr>
                <w:rFonts w:ascii="Times New Roman" w:hAnsi="Times New Roman"/>
                <w:b w:val="0"/>
                <w:sz w:val="16"/>
              </w:rPr>
              <w:t>Phase 2 / Phase 3 / regulatory pass</w:t>
            </w:r>
          </w:p>
        </w:tc>
        <w:tc>
          <w:tcPr>
            <w:tcW w:type="dxa" w:w="3120"/>
            <w:vAlign w:val="center"/>
          </w:tcPr>
          <w:p>
            <w:pPr>
              <w:spacing w:line="240" w:lineRule="auto" w:after="0"/>
            </w:pPr>
            <w:r>
              <w:rPr>
                <w:rFonts w:ascii="Times New Roman" w:hAnsi="Times New Roman"/>
                <w:b w:val="0"/>
                <w:sz w:val="16"/>
              </w:rPr>
              <w:t>0.289 / 0.578 / 0.906; cumulative pTRS 0.151</w:t>
            </w:r>
          </w:p>
        </w:tc>
      </w:tr>
      <w:tr>
        <w:trPr>
          <w:cantSplit/>
        </w:trPr>
        <w:tc>
          <w:tcPr>
            <w:tcW w:type="dxa" w:w="3120"/>
            <w:vAlign w:val="center"/>
          </w:tcPr>
          <w:p>
            <w:pPr>
              <w:spacing w:line="240" w:lineRule="auto" w:after="0"/>
            </w:pPr>
            <w:r>
              <w:rPr>
                <w:rFonts w:ascii="Times New Roman" w:hAnsi="Times New Roman"/>
                <w:b w:val="0"/>
                <w:sz w:val="16"/>
              </w:rPr>
              <w:t>Development</w:t>
            </w:r>
          </w:p>
        </w:tc>
        <w:tc>
          <w:tcPr>
            <w:tcW w:type="dxa" w:w="3120"/>
            <w:vAlign w:val="center"/>
          </w:tcPr>
          <w:p>
            <w:pPr>
              <w:spacing w:line="240" w:lineRule="auto" w:after="0"/>
            </w:pPr>
            <w:r>
              <w:rPr>
                <w:rFonts w:ascii="Times New Roman" w:hAnsi="Times New Roman"/>
                <w:b w:val="0"/>
                <w:sz w:val="16"/>
              </w:rPr>
              <w:t>Duration and cost</w:t>
            </w:r>
          </w:p>
        </w:tc>
        <w:tc>
          <w:tcPr>
            <w:tcW w:type="dxa" w:w="3120"/>
            <w:vAlign w:val="center"/>
          </w:tcPr>
          <w:p>
            <w:pPr>
              <w:spacing w:line="240" w:lineRule="auto" w:after="0"/>
            </w:pPr>
            <w:r>
              <w:rPr>
                <w:rFonts w:ascii="Times New Roman" w:hAnsi="Times New Roman"/>
                <w:b w:val="0"/>
                <w:sz w:val="16"/>
              </w:rPr>
              <w:t>2 y and $100M; 3 y and $400M; 1 y and $50M</w:t>
            </w:r>
          </w:p>
        </w:tc>
      </w:tr>
      <w:tr>
        <w:trPr>
          <w:cantSplit/>
        </w:trPr>
        <w:tc>
          <w:tcPr>
            <w:tcW w:type="dxa" w:w="3120"/>
            <w:vAlign w:val="center"/>
          </w:tcPr>
          <w:p>
            <w:pPr>
              <w:spacing w:line="240" w:lineRule="auto" w:after="0"/>
            </w:pPr>
            <w:r>
              <w:rPr>
                <w:rFonts w:ascii="Times New Roman" w:hAnsi="Times New Roman"/>
                <w:b w:val="0"/>
                <w:sz w:val="16"/>
              </w:rPr>
              <w:t>Commercial</w:t>
            </w:r>
          </w:p>
        </w:tc>
        <w:tc>
          <w:tcPr>
            <w:tcW w:type="dxa" w:w="3120"/>
            <w:vAlign w:val="center"/>
          </w:tcPr>
          <w:p>
            <w:pPr>
              <w:spacing w:line="240" w:lineRule="auto" w:after="0"/>
            </w:pPr>
            <w:r>
              <w:rPr>
                <w:rFonts w:ascii="Times New Roman" w:hAnsi="Times New Roman"/>
                <w:b w:val="0"/>
                <w:sz w:val="16"/>
              </w:rPr>
              <w:t>Peak sales, margin, support</w:t>
            </w:r>
          </w:p>
        </w:tc>
        <w:tc>
          <w:tcPr>
            <w:tcW w:type="dxa" w:w="3120"/>
            <w:vAlign w:val="center"/>
          </w:tcPr>
          <w:p>
            <w:pPr>
              <w:spacing w:line="240" w:lineRule="auto" w:after="0"/>
            </w:pPr>
            <w:r>
              <w:rPr>
                <w:rFonts w:ascii="Times New Roman" w:hAnsi="Times New Roman"/>
                <w:b w:val="0"/>
                <w:sz w:val="16"/>
              </w:rPr>
              <w:t>$1,000M; 80%; $100M/y</w:t>
            </w:r>
          </w:p>
        </w:tc>
      </w:tr>
      <w:tr>
        <w:trPr>
          <w:cantSplit/>
        </w:trPr>
        <w:tc>
          <w:tcPr>
            <w:tcW w:type="dxa" w:w="3120"/>
            <w:vAlign w:val="center"/>
          </w:tcPr>
          <w:p>
            <w:pPr>
              <w:spacing w:line="240" w:lineRule="auto" w:after="0"/>
            </w:pPr>
            <w:r>
              <w:rPr>
                <w:rFonts w:ascii="Times New Roman" w:hAnsi="Times New Roman"/>
                <w:b w:val="0"/>
                <w:sz w:val="16"/>
              </w:rPr>
              <w:t>Timing</w:t>
            </w:r>
          </w:p>
        </w:tc>
        <w:tc>
          <w:tcPr>
            <w:tcW w:type="dxa" w:w="3120"/>
            <w:vAlign w:val="center"/>
          </w:tcPr>
          <w:p>
            <w:pPr>
              <w:spacing w:line="240" w:lineRule="auto" w:after="0"/>
            </w:pPr>
            <w:r>
              <w:rPr>
                <w:rFonts w:ascii="Times New Roman" w:hAnsi="Times New Roman"/>
                <w:b w:val="0"/>
                <w:sz w:val="16"/>
              </w:rPr>
              <w:t>Discount rate and base LOE</w:t>
            </w:r>
          </w:p>
        </w:tc>
        <w:tc>
          <w:tcPr>
            <w:tcW w:type="dxa" w:w="3120"/>
            <w:vAlign w:val="center"/>
          </w:tcPr>
          <w:p>
            <w:pPr>
              <w:spacing w:line="240" w:lineRule="auto" w:after="0"/>
            </w:pPr>
            <w:r>
              <w:rPr>
                <w:rFonts w:ascii="Times New Roman" w:hAnsi="Times New Roman"/>
                <w:b w:val="0"/>
                <w:sz w:val="16"/>
              </w:rPr>
              <w:t>10%; year 15</w:t>
            </w:r>
          </w:p>
        </w:tc>
      </w:tr>
      <w:tr>
        <w:trPr>
          <w:cantSplit/>
        </w:trPr>
        <w:tc>
          <w:tcPr>
            <w:tcW w:type="dxa" w:w="3120"/>
            <w:vAlign w:val="center"/>
          </w:tcPr>
          <w:p>
            <w:pPr>
              <w:spacing w:line="240" w:lineRule="auto" w:after="0"/>
            </w:pPr>
            <w:r>
              <w:rPr>
                <w:rFonts w:ascii="Times New Roman" w:hAnsi="Times New Roman"/>
                <w:b w:val="0"/>
                <w:sz w:val="16"/>
              </w:rPr>
              <w:t>Dependence</w:t>
            </w:r>
          </w:p>
        </w:tc>
        <w:tc>
          <w:tcPr>
            <w:tcW w:type="dxa" w:w="3120"/>
            <w:vAlign w:val="center"/>
          </w:tcPr>
          <w:p>
            <w:pPr>
              <w:spacing w:line="240" w:lineRule="auto" w:after="0"/>
            </w:pPr>
            <w:r>
              <w:rPr>
                <w:rFonts w:ascii="Times New Roman" w:hAnsi="Times New Roman"/>
                <w:b w:val="0"/>
                <w:sz w:val="16"/>
              </w:rPr>
              <w:t>PIAP and MSOG latent-factor rho</w:t>
            </w:r>
          </w:p>
        </w:tc>
        <w:tc>
          <w:tcPr>
            <w:tcW w:type="dxa" w:w="3120"/>
            <w:vAlign w:val="center"/>
          </w:tcPr>
          <w:p>
            <w:pPr>
              <w:spacing w:line="240" w:lineRule="auto" w:after="0"/>
            </w:pPr>
            <w:r>
              <w:rPr>
                <w:rFonts w:ascii="Times New Roman" w:hAnsi="Times New Roman"/>
                <w:b w:val="0"/>
                <w:sz w:val="16"/>
              </w:rPr>
              <w:t>0.415 and 0.250</w:t>
            </w:r>
          </w:p>
        </w:tc>
      </w:tr>
      <w:tr>
        <w:trPr>
          <w:cantSplit/>
        </w:trPr>
        <w:tc>
          <w:tcPr>
            <w:tcW w:type="dxa" w:w="3120"/>
            <w:vAlign w:val="center"/>
          </w:tcPr>
          <w:p>
            <w:pPr>
              <w:spacing w:line="240" w:lineRule="auto" w:after="0"/>
            </w:pPr>
            <w:r>
              <w:rPr>
                <w:rFonts w:ascii="Times New Roman" w:hAnsi="Times New Roman"/>
                <w:b w:val="0"/>
                <w:sz w:val="16"/>
              </w:rPr>
              <w:t>Balanced tolerance</w:t>
            </w:r>
          </w:p>
        </w:tc>
        <w:tc>
          <w:tcPr>
            <w:tcW w:type="dxa" w:w="3120"/>
            <w:vAlign w:val="center"/>
          </w:tcPr>
          <w:p>
            <w:pPr>
              <w:spacing w:line="240" w:lineRule="auto" w:after="0"/>
            </w:pPr>
            <w:r>
              <w:rPr>
                <w:rFonts w:ascii="Times New Roman" w:hAnsi="Times New Roman"/>
                <w:b w:val="0"/>
                <w:sz w:val="16"/>
              </w:rPr>
              <w:t>P5 NPV / capacity-breach maximum</w:t>
            </w:r>
          </w:p>
        </w:tc>
        <w:tc>
          <w:tcPr>
            <w:tcW w:type="dxa" w:w="3120"/>
            <w:vAlign w:val="center"/>
          </w:tcPr>
          <w:p>
            <w:pPr>
              <w:spacing w:line="240" w:lineRule="auto" w:after="0"/>
            </w:pPr>
            <w:r>
              <w:rPr>
                <w:rFonts w:ascii="Times New Roman" w:hAnsi="Times New Roman"/>
                <w:b w:val="0"/>
                <w:sz w:val="16"/>
              </w:rPr>
              <w:t>At least -$1,000M / at most 10%</w:t>
            </w:r>
          </w:p>
        </w:tc>
      </w:tr>
      <w:tr>
        <w:trPr>
          <w:cantSplit/>
        </w:trPr>
        <w:tc>
          <w:tcPr>
            <w:tcW w:type="dxa" w:w="3120"/>
            <w:vAlign w:val="center"/>
          </w:tcPr>
          <w:p>
            <w:pPr>
              <w:spacing w:line="240" w:lineRule="auto" w:after="0"/>
            </w:pPr>
            <w:r>
              <w:rPr>
                <w:rFonts w:ascii="Times New Roman" w:hAnsi="Times New Roman"/>
                <w:b w:val="0"/>
                <w:sz w:val="16"/>
              </w:rPr>
              <w:t>Growth tolerance</w:t>
            </w:r>
          </w:p>
        </w:tc>
        <w:tc>
          <w:tcPr>
            <w:tcW w:type="dxa" w:w="3120"/>
            <w:vAlign w:val="center"/>
          </w:tcPr>
          <w:p>
            <w:pPr>
              <w:spacing w:line="240" w:lineRule="auto" w:after="0"/>
            </w:pPr>
            <w:r>
              <w:rPr>
                <w:rFonts w:ascii="Times New Roman" w:hAnsi="Times New Roman"/>
                <w:b w:val="0"/>
                <w:sz w:val="16"/>
              </w:rPr>
              <w:t>P5 NPV / capacity-breach maximum</w:t>
            </w:r>
          </w:p>
        </w:tc>
        <w:tc>
          <w:tcPr>
            <w:tcW w:type="dxa" w:w="3120"/>
            <w:vAlign w:val="center"/>
          </w:tcPr>
          <w:p>
            <w:pPr>
              <w:spacing w:line="240" w:lineRule="auto" w:after="0"/>
            </w:pPr>
            <w:r>
              <w:rPr>
                <w:rFonts w:ascii="Times New Roman" w:hAnsi="Times New Roman"/>
                <w:b w:val="0"/>
                <w:sz w:val="16"/>
              </w:rPr>
              <w:t>At least -$1,500M / at most 20%</w:t>
            </w:r>
          </w:p>
        </w:tc>
      </w:tr>
      <w:tr>
        <w:trPr>
          <w:cantSplit/>
        </w:trPr>
        <w:tc>
          <w:tcPr>
            <w:tcW w:type="dxa" w:w="3120"/>
            <w:vAlign w:val="center"/>
          </w:tcPr>
          <w:p>
            <w:pPr>
              <w:spacing w:line="240" w:lineRule="auto" w:after="0"/>
            </w:pPr>
            <w:r>
              <w:rPr>
                <w:rFonts w:ascii="Times New Roman" w:hAnsi="Times New Roman"/>
                <w:b w:val="0"/>
                <w:sz w:val="16"/>
              </w:rPr>
              <w:t>Capacity</w:t>
            </w:r>
          </w:p>
        </w:tc>
        <w:tc>
          <w:tcPr>
            <w:tcW w:type="dxa" w:w="3120"/>
            <w:vAlign w:val="center"/>
          </w:tcPr>
          <w:p>
            <w:pPr>
              <w:spacing w:line="240" w:lineRule="auto" w:after="0"/>
            </w:pPr>
            <w:r>
              <w:rPr>
                <w:rFonts w:ascii="Times New Roman" w:hAnsi="Times New Roman"/>
                <w:b w:val="0"/>
                <w:sz w:val="16"/>
              </w:rPr>
              <w:t>Base / high liquidity plus financing less reserve</w:t>
            </w:r>
          </w:p>
        </w:tc>
        <w:tc>
          <w:tcPr>
            <w:tcW w:type="dxa" w:w="3120"/>
            <w:vAlign w:val="center"/>
          </w:tcPr>
          <w:p>
            <w:pPr>
              <w:spacing w:line="240" w:lineRule="auto" w:after="0"/>
            </w:pPr>
            <w:r>
              <w:rPr>
                <w:rFonts w:ascii="Times New Roman" w:hAnsi="Times New Roman"/>
                <w:b w:val="0"/>
                <w:sz w:val="16"/>
              </w:rPr>
              <w:t>$2,500M / $6,500M available headroom</w:t>
            </w:r>
          </w:p>
        </w:tc>
      </w:tr>
      <w:tr>
        <w:trPr>
          <w:cantSplit/>
        </w:trPr>
        <w:tc>
          <w:tcPr>
            <w:tcW w:type="dxa" w:w="3120"/>
            <w:vAlign w:val="center"/>
          </w:tcPr>
          <w:p>
            <w:pPr>
              <w:spacing w:line="240" w:lineRule="auto" w:after="0"/>
            </w:pPr>
            <w:r>
              <w:rPr>
                <w:rFonts w:ascii="Times New Roman" w:hAnsi="Times New Roman"/>
                <w:b w:val="0"/>
                <w:sz w:val="16"/>
              </w:rPr>
              <w:t>Launch service</w:t>
            </w:r>
          </w:p>
        </w:tc>
        <w:tc>
          <w:tcPr>
            <w:tcW w:type="dxa" w:w="3120"/>
            <w:vAlign w:val="center"/>
          </w:tcPr>
          <w:p>
            <w:pPr>
              <w:spacing w:line="240" w:lineRule="auto" w:after="0"/>
            </w:pPr>
            <w:r>
              <w:rPr>
                <w:rFonts w:ascii="Times New Roman" w:hAnsi="Times New Roman"/>
                <w:b w:val="0"/>
                <w:sz w:val="16"/>
              </w:rPr>
              <w:t>Primary operational target</w:t>
            </w:r>
          </w:p>
        </w:tc>
        <w:tc>
          <w:tcPr>
            <w:tcW w:type="dxa" w:w="3120"/>
            <w:vAlign w:val="center"/>
          </w:tcPr>
          <w:p>
            <w:pPr>
              <w:spacing w:line="240" w:lineRule="auto" w:after="0"/>
            </w:pPr>
            <w:r>
              <w:rPr>
                <w:rFonts w:ascii="Times New Roman" w:hAnsi="Times New Roman"/>
                <w:b w:val="0"/>
                <w:sz w:val="16"/>
              </w:rPr>
              <w:t>At least 2 launches per rolling 3 y with 80% probability</w:t>
            </w:r>
          </w:p>
        </w:tc>
      </w:tr>
    </w:tbl>
    <w:p>
      <w:pPr>
        <w:spacing w:line="240" w:lineRule="auto"/>
      </w:pPr>
      <w:r>
        <w:rPr>
          <w:sz w:val="18"/>
        </w:rPr>
        <w:t>Abbreviations: CVaR5, conditional value at risk in the worst 5% of outcomes; eNPV, expected net present value; LOE, loss of exclusivity; MSOG, multiple shots on goal; P5, fifth-percentile NPV; PIAP, pipeline in a pill; pTRS, probability of technical and regulatory success.</w:t>
      </w:r>
    </w:p>
    <w:p>
      <w:r>
        <w:br w:type="page"/>
      </w:r>
    </w:p>
    <w:p>
      <w:pPr>
        <w:keepNext/>
        <w:spacing w:line="240" w:lineRule="auto"/>
      </w:pPr>
      <w:r>
        <w:rPr>
          <w:b/>
        </w:rPr>
        <w:t>Table 2. Flat-benchmark portfolio scorecard at empirical dependence anchors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val="true"/>
        </w:trPr>
        <w:tc>
          <w:tcPr>
            <w:tcW w:type="dxa" w:w="1040"/>
            <w:vAlign w:val="center"/>
          </w:tcPr>
          <w:p>
            <w:pPr>
              <w:spacing w:line="240" w:lineRule="auto" w:after="0"/>
            </w:pPr>
            <w:r>
              <w:rPr>
                <w:rFonts w:ascii="Times New Roman" w:hAnsi="Times New Roman"/>
                <w:b/>
                <w:sz w:val="16"/>
              </w:rPr>
              <w:t>Strategy</w:t>
            </w:r>
          </w:p>
        </w:tc>
        <w:tc>
          <w:tcPr>
            <w:tcW w:type="dxa" w:w="1040"/>
            <w:vAlign w:val="center"/>
          </w:tcPr>
          <w:p>
            <w:pPr>
              <w:spacing w:line="240" w:lineRule="auto" w:after="0"/>
            </w:pPr>
            <w:r>
              <w:rPr>
                <w:rFonts w:ascii="Times New Roman" w:hAnsi="Times New Roman"/>
                <w:b/>
                <w:sz w:val="16"/>
              </w:rPr>
              <w:t>eNPV</w:t>
            </w:r>
          </w:p>
        </w:tc>
        <w:tc>
          <w:tcPr>
            <w:tcW w:type="dxa" w:w="1040"/>
            <w:vAlign w:val="center"/>
          </w:tcPr>
          <w:p>
            <w:pPr>
              <w:spacing w:line="240" w:lineRule="auto" w:after="0"/>
            </w:pPr>
            <w:r>
              <w:rPr>
                <w:rFonts w:ascii="Times New Roman" w:hAnsi="Times New Roman"/>
                <w:b/>
                <w:sz w:val="16"/>
              </w:rPr>
              <w:t>ePI</w:t>
            </w:r>
          </w:p>
        </w:tc>
        <w:tc>
          <w:tcPr>
            <w:tcW w:type="dxa" w:w="1040"/>
            <w:vAlign w:val="center"/>
          </w:tcPr>
          <w:p>
            <w:pPr>
              <w:spacing w:line="240" w:lineRule="auto" w:after="0"/>
            </w:pPr>
            <w:r>
              <w:rPr>
                <w:rFonts w:ascii="Times New Roman" w:hAnsi="Times New Roman"/>
                <w:b/>
                <w:sz w:val="16"/>
              </w:rPr>
              <w:t>P5 NPV</w:t>
            </w:r>
          </w:p>
        </w:tc>
        <w:tc>
          <w:tcPr>
            <w:tcW w:type="dxa" w:w="1040"/>
            <w:vAlign w:val="center"/>
          </w:tcPr>
          <w:p>
            <w:pPr>
              <w:spacing w:line="240" w:lineRule="auto" w:after="0"/>
            </w:pPr>
            <w:r>
              <w:rPr>
                <w:rFonts w:ascii="Times New Roman" w:hAnsi="Times New Roman"/>
                <w:b/>
                <w:sz w:val="16"/>
              </w:rPr>
              <w:t>CVaR5</w:t>
            </w:r>
          </w:p>
        </w:tc>
        <w:tc>
          <w:tcPr>
            <w:tcW w:type="dxa" w:w="1040"/>
            <w:vAlign w:val="center"/>
          </w:tcPr>
          <w:p>
            <w:pPr>
              <w:spacing w:line="240" w:lineRule="auto" w:after="0"/>
            </w:pPr>
            <w:r>
              <w:rPr>
                <w:rFonts w:ascii="Times New Roman" w:hAnsi="Times New Roman"/>
                <w:b/>
                <w:sz w:val="16"/>
              </w:rPr>
              <w:t>SD NPV</w:t>
            </w:r>
          </w:p>
        </w:tc>
        <w:tc>
          <w:tcPr>
            <w:tcW w:type="dxa" w:w="1040"/>
            <w:vAlign w:val="center"/>
          </w:tcPr>
          <w:p>
            <w:pPr>
              <w:spacing w:line="240" w:lineRule="auto" w:after="0"/>
            </w:pPr>
            <w:r>
              <w:rPr>
                <w:rFonts w:ascii="Times New Roman" w:hAnsi="Times New Roman"/>
                <w:b/>
                <w:sz w:val="16"/>
              </w:rPr>
              <w:t>P(0 launches)</w:t>
            </w:r>
          </w:p>
        </w:tc>
        <w:tc>
          <w:tcPr>
            <w:tcW w:type="dxa" w:w="1040"/>
            <w:vAlign w:val="center"/>
          </w:tcPr>
          <w:p>
            <w:pPr>
              <w:spacing w:line="240" w:lineRule="auto" w:after="0"/>
            </w:pPr>
            <w:r>
              <w:rPr>
                <w:rFonts w:ascii="Times New Roman" w:hAnsi="Times New Roman"/>
                <w:b/>
                <w:sz w:val="16"/>
              </w:rPr>
              <w:t>Base breach</w:t>
            </w:r>
          </w:p>
        </w:tc>
        <w:tc>
          <w:tcPr>
            <w:tcW w:type="dxa" w:w="1040"/>
            <w:vAlign w:val="center"/>
          </w:tcPr>
          <w:p>
            <w:pPr>
              <w:spacing w:line="240" w:lineRule="auto" w:after="0"/>
            </w:pPr>
            <w:r>
              <w:rPr>
                <w:rFonts w:ascii="Times New Roman" w:hAnsi="Times New Roman"/>
                <w:b/>
                <w:sz w:val="16"/>
              </w:rPr>
              <w:t>Eff. breadth</w:t>
            </w:r>
          </w:p>
        </w:tc>
      </w:tr>
      <w:tr>
        <w:trPr>
          <w:cantSplit/>
        </w:trPr>
        <w:tc>
          <w:tcPr>
            <w:tcW w:type="dxa" w:w="1040"/>
            <w:vAlign w:val="center"/>
          </w:tcPr>
          <w:p>
            <w:pPr>
              <w:spacing w:line="240" w:lineRule="auto" w:after="0"/>
            </w:pPr>
            <w:r>
              <w:rPr>
                <w:rFonts w:ascii="Times New Roman" w:hAnsi="Times New Roman"/>
                <w:b w:val="0"/>
                <w:sz w:val="16"/>
              </w:rPr>
              <w:t>Diversified</w:t>
            </w:r>
          </w:p>
        </w:tc>
        <w:tc>
          <w:tcPr>
            <w:tcW w:type="dxa" w:w="1040"/>
            <w:vAlign w:val="center"/>
          </w:tcPr>
          <w:p>
            <w:pPr>
              <w:spacing w:line="240" w:lineRule="auto" w:after="0"/>
            </w:pPr>
            <w:r>
              <w:rPr>
                <w:rFonts w:ascii="Times New Roman" w:hAnsi="Times New Roman"/>
                <w:b w:val="0"/>
                <w:sz w:val="16"/>
              </w:rPr>
              <w:t>$84M</w:t>
            </w:r>
          </w:p>
        </w:tc>
        <w:tc>
          <w:tcPr>
            <w:tcW w:type="dxa" w:w="1040"/>
            <w:vAlign w:val="center"/>
          </w:tcPr>
          <w:p>
            <w:pPr>
              <w:spacing w:line="240" w:lineRule="auto" w:after="0"/>
            </w:pPr>
            <w:r>
              <w:rPr>
                <w:rFonts w:ascii="Times New Roman" w:hAnsi="Times New Roman"/>
                <w:b w:val="0"/>
                <w:sz w:val="16"/>
              </w:rPr>
              <w:t>0.077</w:t>
            </w:r>
          </w:p>
        </w:tc>
        <w:tc>
          <w:tcPr>
            <w:tcW w:type="dxa" w:w="1040"/>
            <w:vAlign w:val="center"/>
          </w:tcPr>
          <w:p>
            <w:pPr>
              <w:spacing w:line="240" w:lineRule="auto" w:after="0"/>
            </w:pPr>
            <w:r>
              <w:rPr>
                <w:rFonts w:ascii="Times New Roman" w:hAnsi="Times New Roman"/>
                <w:b w:val="0"/>
                <w:sz w:val="16"/>
              </w:rPr>
              <w:t>-$1,148M</w:t>
            </w:r>
          </w:p>
        </w:tc>
        <w:tc>
          <w:tcPr>
            <w:tcW w:type="dxa" w:w="1040"/>
            <w:vAlign w:val="center"/>
          </w:tcPr>
          <w:p>
            <w:pPr>
              <w:spacing w:line="240" w:lineRule="auto" w:after="0"/>
            </w:pPr>
            <w:r>
              <w:rPr>
                <w:rFonts w:ascii="Times New Roman" w:hAnsi="Times New Roman"/>
                <w:b w:val="0"/>
                <w:sz w:val="16"/>
              </w:rPr>
              <w:t>-$1,232M</w:t>
            </w:r>
          </w:p>
        </w:tc>
        <w:tc>
          <w:tcPr>
            <w:tcW w:type="dxa" w:w="1040"/>
            <w:vAlign w:val="center"/>
          </w:tcPr>
          <w:p>
            <w:pPr>
              <w:spacing w:line="240" w:lineRule="auto" w:after="0"/>
            </w:pPr>
            <w:r>
              <w:rPr>
                <w:rFonts w:ascii="Times New Roman" w:hAnsi="Times New Roman"/>
                <w:b w:val="0"/>
                <w:sz w:val="16"/>
              </w:rPr>
              <w:t>$938M</w:t>
            </w:r>
          </w:p>
        </w:tc>
        <w:tc>
          <w:tcPr>
            <w:tcW w:type="dxa" w:w="1040"/>
            <w:vAlign w:val="center"/>
          </w:tcPr>
          <w:p>
            <w:pPr>
              <w:spacing w:line="240" w:lineRule="auto" w:after="0"/>
            </w:pPr>
            <w:r>
              <w:rPr>
                <w:rFonts w:ascii="Times New Roman" w:hAnsi="Times New Roman"/>
                <w:b w:val="0"/>
                <w:sz w:val="16"/>
              </w:rPr>
              <w:t>37.4%</w:t>
            </w:r>
          </w:p>
        </w:tc>
        <w:tc>
          <w:tcPr>
            <w:tcW w:type="dxa" w:w="1040"/>
            <w:vAlign w:val="center"/>
          </w:tcPr>
          <w:p>
            <w:pPr>
              <w:spacing w:line="240" w:lineRule="auto" w:after="0"/>
            </w:pPr>
            <w:r>
              <w:rPr>
                <w:rFonts w:ascii="Times New Roman" w:hAnsi="Times New Roman"/>
                <w:b w:val="0"/>
                <w:sz w:val="16"/>
              </w:rPr>
              <w:t>60.9%</w:t>
            </w:r>
          </w:p>
        </w:tc>
        <w:tc>
          <w:tcPr>
            <w:tcW w:type="dxa" w:w="1040"/>
            <w:vAlign w:val="center"/>
          </w:tcPr>
          <w:p>
            <w:pPr>
              <w:spacing w:line="240" w:lineRule="auto" w:after="0"/>
            </w:pPr>
            <w:r>
              <w:rPr>
                <w:rFonts w:ascii="Times New Roman" w:hAnsi="Times New Roman"/>
                <w:b w:val="0"/>
                <w:sz w:val="16"/>
              </w:rPr>
              <w:t>5.98</w:t>
            </w:r>
          </w:p>
        </w:tc>
      </w:tr>
      <w:tr>
        <w:trPr>
          <w:cantSplit/>
        </w:trPr>
        <w:tc>
          <w:tcPr>
            <w:tcW w:type="dxa" w:w="1040"/>
            <w:vAlign w:val="center"/>
          </w:tcPr>
          <w:p>
            <w:pPr>
              <w:spacing w:line="240" w:lineRule="auto" w:after="0"/>
            </w:pPr>
            <w:r>
              <w:rPr>
                <w:rFonts w:ascii="Times New Roman" w:hAnsi="Times New Roman"/>
                <w:b w:val="0"/>
                <w:sz w:val="16"/>
              </w:rPr>
              <w:t>PIAP, 0% saving</w:t>
            </w:r>
          </w:p>
        </w:tc>
        <w:tc>
          <w:tcPr>
            <w:tcW w:type="dxa" w:w="1040"/>
            <w:vAlign w:val="center"/>
          </w:tcPr>
          <w:p>
            <w:pPr>
              <w:spacing w:line="240" w:lineRule="auto" w:after="0"/>
            </w:pPr>
            <w:r>
              <w:rPr>
                <w:rFonts w:ascii="Times New Roman" w:hAnsi="Times New Roman"/>
                <w:b w:val="0"/>
                <w:sz w:val="16"/>
              </w:rPr>
              <w:t>$85M</w:t>
            </w:r>
          </w:p>
        </w:tc>
        <w:tc>
          <w:tcPr>
            <w:tcW w:type="dxa" w:w="1040"/>
            <w:vAlign w:val="center"/>
          </w:tcPr>
          <w:p>
            <w:pPr>
              <w:spacing w:line="240" w:lineRule="auto" w:after="0"/>
            </w:pPr>
            <w:r>
              <w:rPr>
                <w:rFonts w:ascii="Times New Roman" w:hAnsi="Times New Roman"/>
                <w:b w:val="0"/>
                <w:sz w:val="16"/>
              </w:rPr>
              <w:t>0.077</w:t>
            </w:r>
          </w:p>
        </w:tc>
        <w:tc>
          <w:tcPr>
            <w:tcW w:type="dxa" w:w="1040"/>
            <w:vAlign w:val="center"/>
          </w:tcPr>
          <w:p>
            <w:pPr>
              <w:spacing w:line="240" w:lineRule="auto" w:after="0"/>
            </w:pPr>
            <w:r>
              <w:rPr>
                <w:rFonts w:ascii="Times New Roman" w:hAnsi="Times New Roman"/>
                <w:b w:val="0"/>
                <w:sz w:val="16"/>
              </w:rPr>
              <w:t>-$1,179M</w:t>
            </w:r>
          </w:p>
        </w:tc>
        <w:tc>
          <w:tcPr>
            <w:tcW w:type="dxa" w:w="1040"/>
            <w:vAlign w:val="center"/>
          </w:tcPr>
          <w:p>
            <w:pPr>
              <w:spacing w:line="240" w:lineRule="auto" w:after="0"/>
            </w:pPr>
            <w:r>
              <w:rPr>
                <w:rFonts w:ascii="Times New Roman" w:hAnsi="Times New Roman"/>
                <w:b w:val="0"/>
                <w:sz w:val="16"/>
              </w:rPr>
              <w:t>-$1,597M</w:t>
            </w:r>
          </w:p>
        </w:tc>
        <w:tc>
          <w:tcPr>
            <w:tcW w:type="dxa" w:w="1040"/>
            <w:vAlign w:val="center"/>
          </w:tcPr>
          <w:p>
            <w:pPr>
              <w:spacing w:line="240" w:lineRule="auto" w:after="0"/>
            </w:pPr>
            <w:r>
              <w:rPr>
                <w:rFonts w:ascii="Times New Roman" w:hAnsi="Times New Roman"/>
                <w:b w:val="0"/>
                <w:sz w:val="16"/>
              </w:rPr>
              <w:t>$1,223M</w:t>
            </w:r>
          </w:p>
        </w:tc>
        <w:tc>
          <w:tcPr>
            <w:tcW w:type="dxa" w:w="1040"/>
            <w:vAlign w:val="center"/>
          </w:tcPr>
          <w:p>
            <w:pPr>
              <w:spacing w:line="240" w:lineRule="auto" w:after="0"/>
            </w:pPr>
            <w:r>
              <w:rPr>
                <w:rFonts w:ascii="Times New Roman" w:hAnsi="Times New Roman"/>
                <w:b w:val="0"/>
                <w:sz w:val="16"/>
              </w:rPr>
              <w:t>51.1%</w:t>
            </w:r>
          </w:p>
        </w:tc>
        <w:tc>
          <w:tcPr>
            <w:tcW w:type="dxa" w:w="1040"/>
            <w:vAlign w:val="center"/>
          </w:tcPr>
          <w:p>
            <w:pPr>
              <w:spacing w:line="240" w:lineRule="auto" w:after="0"/>
            </w:pPr>
            <w:r>
              <w:rPr>
                <w:rFonts w:ascii="Times New Roman" w:hAnsi="Times New Roman"/>
                <w:b w:val="0"/>
                <w:sz w:val="16"/>
              </w:rPr>
              <w:t>63.9%</w:t>
            </w:r>
          </w:p>
        </w:tc>
        <w:tc>
          <w:tcPr>
            <w:tcW w:type="dxa" w:w="1040"/>
            <w:vAlign w:val="center"/>
          </w:tcPr>
          <w:p>
            <w:pPr>
              <w:spacing w:line="240" w:lineRule="auto" w:after="0"/>
            </w:pPr>
            <w:r>
              <w:rPr>
                <w:rFonts w:ascii="Times New Roman" w:hAnsi="Times New Roman"/>
                <w:b w:val="0"/>
                <w:sz w:val="16"/>
              </w:rPr>
              <w:t>3.19</w:t>
            </w:r>
          </w:p>
        </w:tc>
      </w:tr>
      <w:tr>
        <w:trPr>
          <w:cantSplit/>
        </w:trPr>
        <w:tc>
          <w:tcPr>
            <w:tcW w:type="dxa" w:w="1040"/>
            <w:vAlign w:val="center"/>
          </w:tcPr>
          <w:p>
            <w:pPr>
              <w:spacing w:line="240" w:lineRule="auto" w:after="0"/>
            </w:pPr>
            <w:r>
              <w:rPr>
                <w:rFonts w:ascii="Times New Roman" w:hAnsi="Times New Roman"/>
                <w:b w:val="0"/>
                <w:sz w:val="16"/>
              </w:rPr>
              <w:t>PIAP, 20% saving</w:t>
            </w:r>
          </w:p>
        </w:tc>
        <w:tc>
          <w:tcPr>
            <w:tcW w:type="dxa" w:w="1040"/>
            <w:vAlign w:val="center"/>
          </w:tcPr>
          <w:p>
            <w:pPr>
              <w:spacing w:line="240" w:lineRule="auto" w:after="0"/>
            </w:pPr>
            <w:r>
              <w:rPr>
                <w:rFonts w:ascii="Times New Roman" w:hAnsi="Times New Roman"/>
                <w:b w:val="0"/>
                <w:sz w:val="16"/>
              </w:rPr>
              <w:t>$268M</w:t>
            </w:r>
          </w:p>
        </w:tc>
        <w:tc>
          <w:tcPr>
            <w:tcW w:type="dxa" w:w="1040"/>
            <w:vAlign w:val="center"/>
          </w:tcPr>
          <w:p>
            <w:pPr>
              <w:spacing w:line="240" w:lineRule="auto" w:after="0"/>
            </w:pPr>
            <w:r>
              <w:rPr>
                <w:rFonts w:ascii="Times New Roman" w:hAnsi="Times New Roman"/>
                <w:b w:val="0"/>
                <w:sz w:val="16"/>
              </w:rPr>
              <w:t>0.292</w:t>
            </w:r>
          </w:p>
        </w:tc>
        <w:tc>
          <w:tcPr>
            <w:tcW w:type="dxa" w:w="1040"/>
            <w:vAlign w:val="center"/>
          </w:tcPr>
          <w:p>
            <w:pPr>
              <w:spacing w:line="240" w:lineRule="auto" w:after="0"/>
            </w:pPr>
            <w:r>
              <w:rPr>
                <w:rFonts w:ascii="Times New Roman" w:hAnsi="Times New Roman"/>
                <w:b w:val="0"/>
                <w:sz w:val="16"/>
              </w:rPr>
              <w:t>-$996M</w:t>
            </w:r>
          </w:p>
        </w:tc>
        <w:tc>
          <w:tcPr>
            <w:tcW w:type="dxa" w:w="1040"/>
            <w:vAlign w:val="center"/>
          </w:tcPr>
          <w:p>
            <w:pPr>
              <w:spacing w:line="240" w:lineRule="auto" w:after="0"/>
            </w:pPr>
            <w:r>
              <w:rPr>
                <w:rFonts w:ascii="Times New Roman" w:hAnsi="Times New Roman"/>
                <w:b w:val="0"/>
                <w:sz w:val="16"/>
              </w:rPr>
              <w:t>-$1,286M</w:t>
            </w:r>
          </w:p>
        </w:tc>
        <w:tc>
          <w:tcPr>
            <w:tcW w:type="dxa" w:w="1040"/>
            <w:vAlign w:val="center"/>
          </w:tcPr>
          <w:p>
            <w:pPr>
              <w:spacing w:line="240" w:lineRule="auto" w:after="0"/>
            </w:pPr>
            <w:r>
              <w:rPr>
                <w:rFonts w:ascii="Times New Roman" w:hAnsi="Times New Roman"/>
                <w:b w:val="0"/>
                <w:sz w:val="16"/>
              </w:rPr>
              <w:t>$1,273M</w:t>
            </w:r>
          </w:p>
        </w:tc>
        <w:tc>
          <w:tcPr>
            <w:tcW w:type="dxa" w:w="1040"/>
            <w:vAlign w:val="center"/>
          </w:tcPr>
          <w:p>
            <w:pPr>
              <w:spacing w:line="240" w:lineRule="auto" w:after="0"/>
            </w:pPr>
            <w:r>
              <w:rPr>
                <w:rFonts w:ascii="Times New Roman" w:hAnsi="Times New Roman"/>
                <w:b w:val="0"/>
                <w:sz w:val="16"/>
              </w:rPr>
              <w:t>51.1%</w:t>
            </w:r>
          </w:p>
        </w:tc>
        <w:tc>
          <w:tcPr>
            <w:tcW w:type="dxa" w:w="1040"/>
            <w:vAlign w:val="center"/>
          </w:tcPr>
          <w:p>
            <w:pPr>
              <w:spacing w:line="240" w:lineRule="auto" w:after="0"/>
            </w:pPr>
            <w:r>
              <w:rPr>
                <w:rFonts w:ascii="Times New Roman" w:hAnsi="Times New Roman"/>
                <w:b w:val="0"/>
                <w:sz w:val="16"/>
              </w:rPr>
              <w:t>60.3%</w:t>
            </w:r>
          </w:p>
        </w:tc>
        <w:tc>
          <w:tcPr>
            <w:tcW w:type="dxa" w:w="1040"/>
            <w:vAlign w:val="center"/>
          </w:tcPr>
          <w:p>
            <w:pPr>
              <w:spacing w:line="240" w:lineRule="auto" w:after="0"/>
            </w:pPr>
            <w:r>
              <w:rPr>
                <w:rFonts w:ascii="Times New Roman" w:hAnsi="Times New Roman"/>
                <w:b w:val="0"/>
                <w:sz w:val="16"/>
              </w:rPr>
              <w:t>3.19</w:t>
            </w:r>
          </w:p>
        </w:tc>
      </w:tr>
      <w:tr>
        <w:trPr>
          <w:cantSplit/>
        </w:trPr>
        <w:tc>
          <w:tcPr>
            <w:tcW w:type="dxa" w:w="1040"/>
            <w:vAlign w:val="center"/>
          </w:tcPr>
          <w:p>
            <w:pPr>
              <w:spacing w:line="240" w:lineRule="auto" w:after="0"/>
            </w:pPr>
            <w:r>
              <w:rPr>
                <w:rFonts w:ascii="Times New Roman" w:hAnsi="Times New Roman"/>
                <w:b w:val="0"/>
                <w:sz w:val="16"/>
              </w:rPr>
              <w:t>MSOG, 0% saving</w:t>
            </w:r>
          </w:p>
        </w:tc>
        <w:tc>
          <w:tcPr>
            <w:tcW w:type="dxa" w:w="1040"/>
            <w:vAlign w:val="center"/>
          </w:tcPr>
          <w:p>
            <w:pPr>
              <w:spacing w:line="240" w:lineRule="auto" w:after="0"/>
            </w:pPr>
            <w:r>
              <w:rPr>
                <w:rFonts w:ascii="Times New Roman" w:hAnsi="Times New Roman"/>
                <w:b w:val="0"/>
                <w:sz w:val="16"/>
              </w:rPr>
              <w:t>$82M</w:t>
            </w:r>
          </w:p>
        </w:tc>
        <w:tc>
          <w:tcPr>
            <w:tcW w:type="dxa" w:w="1040"/>
            <w:vAlign w:val="center"/>
          </w:tcPr>
          <w:p>
            <w:pPr>
              <w:spacing w:line="240" w:lineRule="auto" w:after="0"/>
            </w:pPr>
            <w:r>
              <w:rPr>
                <w:rFonts w:ascii="Times New Roman" w:hAnsi="Times New Roman"/>
                <w:b w:val="0"/>
                <w:sz w:val="16"/>
              </w:rPr>
              <w:t>0.075</w:t>
            </w:r>
          </w:p>
        </w:tc>
        <w:tc>
          <w:tcPr>
            <w:tcW w:type="dxa" w:w="1040"/>
            <w:vAlign w:val="center"/>
          </w:tcPr>
          <w:p>
            <w:pPr>
              <w:spacing w:line="240" w:lineRule="auto" w:after="0"/>
            </w:pPr>
            <w:r>
              <w:rPr>
                <w:rFonts w:ascii="Times New Roman" w:hAnsi="Times New Roman"/>
                <w:b w:val="0"/>
                <w:sz w:val="16"/>
              </w:rPr>
              <w:t>-$1,148M</w:t>
            </w:r>
          </w:p>
        </w:tc>
        <w:tc>
          <w:tcPr>
            <w:tcW w:type="dxa" w:w="1040"/>
            <w:vAlign w:val="center"/>
          </w:tcPr>
          <w:p>
            <w:pPr>
              <w:spacing w:line="240" w:lineRule="auto" w:after="0"/>
            </w:pPr>
            <w:r>
              <w:rPr>
                <w:rFonts w:ascii="Times New Roman" w:hAnsi="Times New Roman"/>
                <w:b w:val="0"/>
                <w:sz w:val="16"/>
              </w:rPr>
              <w:t>-$1,319M</w:t>
            </w:r>
          </w:p>
        </w:tc>
        <w:tc>
          <w:tcPr>
            <w:tcW w:type="dxa" w:w="1040"/>
            <w:vAlign w:val="center"/>
          </w:tcPr>
          <w:p>
            <w:pPr>
              <w:spacing w:line="240" w:lineRule="auto" w:after="0"/>
            </w:pPr>
            <w:r>
              <w:rPr>
                <w:rFonts w:ascii="Times New Roman" w:hAnsi="Times New Roman"/>
                <w:b w:val="0"/>
                <w:sz w:val="16"/>
              </w:rPr>
              <w:t>$1,094M</w:t>
            </w:r>
          </w:p>
        </w:tc>
        <w:tc>
          <w:tcPr>
            <w:tcW w:type="dxa" w:w="1040"/>
            <w:vAlign w:val="center"/>
          </w:tcPr>
          <w:p>
            <w:pPr>
              <w:spacing w:line="240" w:lineRule="auto" w:after="0"/>
            </w:pPr>
            <w:r>
              <w:rPr>
                <w:rFonts w:ascii="Times New Roman" w:hAnsi="Times New Roman"/>
                <w:b w:val="0"/>
                <w:sz w:val="16"/>
              </w:rPr>
              <w:t>45.7%</w:t>
            </w:r>
          </w:p>
        </w:tc>
        <w:tc>
          <w:tcPr>
            <w:tcW w:type="dxa" w:w="1040"/>
            <w:vAlign w:val="center"/>
          </w:tcPr>
          <w:p>
            <w:pPr>
              <w:spacing w:line="240" w:lineRule="auto" w:after="0"/>
            </w:pPr>
            <w:r>
              <w:rPr>
                <w:rFonts w:ascii="Times New Roman" w:hAnsi="Times New Roman"/>
                <w:b w:val="0"/>
                <w:sz w:val="16"/>
              </w:rPr>
              <w:t>62.1%</w:t>
            </w:r>
          </w:p>
        </w:tc>
        <w:tc>
          <w:tcPr>
            <w:tcW w:type="dxa" w:w="1040"/>
            <w:vAlign w:val="center"/>
          </w:tcPr>
          <w:p>
            <w:pPr>
              <w:spacing w:line="240" w:lineRule="auto" w:after="0"/>
            </w:pPr>
            <w:r>
              <w:rPr>
                <w:rFonts w:ascii="Times New Roman" w:hAnsi="Times New Roman"/>
                <w:b w:val="0"/>
                <w:sz w:val="16"/>
              </w:rPr>
              <w:t>4.06</w:t>
            </w:r>
          </w:p>
        </w:tc>
      </w:tr>
      <w:tr>
        <w:trPr>
          <w:cantSplit/>
        </w:trPr>
        <w:tc>
          <w:tcPr>
            <w:tcW w:type="dxa" w:w="1040"/>
            <w:vAlign w:val="center"/>
          </w:tcPr>
          <w:p>
            <w:pPr>
              <w:spacing w:line="240" w:lineRule="auto" w:after="0"/>
            </w:pPr>
            <w:r>
              <w:rPr>
                <w:rFonts w:ascii="Times New Roman" w:hAnsi="Times New Roman"/>
                <w:b w:val="0"/>
                <w:sz w:val="16"/>
              </w:rPr>
              <w:t>MSOG, 20% saving</w:t>
            </w:r>
          </w:p>
        </w:tc>
        <w:tc>
          <w:tcPr>
            <w:tcW w:type="dxa" w:w="1040"/>
            <w:vAlign w:val="center"/>
          </w:tcPr>
          <w:p>
            <w:pPr>
              <w:spacing w:line="240" w:lineRule="auto" w:after="0"/>
            </w:pPr>
            <w:r>
              <w:rPr>
                <w:rFonts w:ascii="Times New Roman" w:hAnsi="Times New Roman"/>
                <w:b w:val="0"/>
                <w:sz w:val="16"/>
              </w:rPr>
              <w:t>$266M</w:t>
            </w:r>
          </w:p>
        </w:tc>
        <w:tc>
          <w:tcPr>
            <w:tcW w:type="dxa" w:w="1040"/>
            <w:vAlign w:val="center"/>
          </w:tcPr>
          <w:p>
            <w:pPr>
              <w:spacing w:line="240" w:lineRule="auto" w:after="0"/>
            </w:pPr>
            <w:r>
              <w:rPr>
                <w:rFonts w:ascii="Times New Roman" w:hAnsi="Times New Roman"/>
                <w:b w:val="0"/>
                <w:sz w:val="16"/>
              </w:rPr>
              <w:t>0.290</w:t>
            </w:r>
          </w:p>
        </w:tc>
        <w:tc>
          <w:tcPr>
            <w:tcW w:type="dxa" w:w="1040"/>
            <w:vAlign w:val="center"/>
          </w:tcPr>
          <w:p>
            <w:pPr>
              <w:spacing w:line="240" w:lineRule="auto" w:after="0"/>
            </w:pPr>
            <w:r>
              <w:rPr>
                <w:rFonts w:ascii="Times New Roman" w:hAnsi="Times New Roman"/>
                <w:b w:val="0"/>
                <w:sz w:val="16"/>
              </w:rPr>
              <w:t>-$996M</w:t>
            </w:r>
          </w:p>
        </w:tc>
        <w:tc>
          <w:tcPr>
            <w:tcW w:type="dxa" w:w="1040"/>
            <w:vAlign w:val="center"/>
          </w:tcPr>
          <w:p>
            <w:pPr>
              <w:spacing w:line="240" w:lineRule="auto" w:after="0"/>
            </w:pPr>
            <w:r>
              <w:rPr>
                <w:rFonts w:ascii="Times New Roman" w:hAnsi="Times New Roman"/>
                <w:b w:val="0"/>
                <w:sz w:val="16"/>
              </w:rPr>
              <w:t>-$1,209M</w:t>
            </w:r>
          </w:p>
        </w:tc>
        <w:tc>
          <w:tcPr>
            <w:tcW w:type="dxa" w:w="1040"/>
            <w:vAlign w:val="center"/>
          </w:tcPr>
          <w:p>
            <w:pPr>
              <w:spacing w:line="240" w:lineRule="auto" w:after="0"/>
            </w:pPr>
            <w:r>
              <w:rPr>
                <w:rFonts w:ascii="Times New Roman" w:hAnsi="Times New Roman"/>
                <w:b w:val="0"/>
                <w:sz w:val="16"/>
              </w:rPr>
              <w:t>$1,136M</w:t>
            </w:r>
          </w:p>
        </w:tc>
        <w:tc>
          <w:tcPr>
            <w:tcW w:type="dxa" w:w="1040"/>
            <w:vAlign w:val="center"/>
          </w:tcPr>
          <w:p>
            <w:pPr>
              <w:spacing w:line="240" w:lineRule="auto" w:after="0"/>
            </w:pPr>
            <w:r>
              <w:rPr>
                <w:rFonts w:ascii="Times New Roman" w:hAnsi="Times New Roman"/>
                <w:b w:val="0"/>
                <w:sz w:val="16"/>
              </w:rPr>
              <w:t>45.7%</w:t>
            </w:r>
          </w:p>
        </w:tc>
        <w:tc>
          <w:tcPr>
            <w:tcW w:type="dxa" w:w="1040"/>
            <w:vAlign w:val="center"/>
          </w:tcPr>
          <w:p>
            <w:pPr>
              <w:spacing w:line="240" w:lineRule="auto" w:after="0"/>
            </w:pPr>
            <w:r>
              <w:rPr>
                <w:rFonts w:ascii="Times New Roman" w:hAnsi="Times New Roman"/>
                <w:b w:val="0"/>
                <w:sz w:val="16"/>
              </w:rPr>
              <w:t>56.8%</w:t>
            </w:r>
          </w:p>
        </w:tc>
        <w:tc>
          <w:tcPr>
            <w:tcW w:type="dxa" w:w="1040"/>
            <w:vAlign w:val="center"/>
          </w:tcPr>
          <w:p>
            <w:pPr>
              <w:spacing w:line="240" w:lineRule="auto" w:after="0"/>
            </w:pPr>
            <w:r>
              <w:rPr>
                <w:rFonts w:ascii="Times New Roman" w:hAnsi="Times New Roman"/>
                <w:b w:val="0"/>
                <w:sz w:val="16"/>
              </w:rPr>
              <w:t>4.06</w:t>
            </w:r>
          </w:p>
        </w:tc>
      </w:tr>
    </w:tbl>
    <w:p>
      <w:pPr>
        <w:spacing w:line="240" w:lineRule="auto"/>
      </w:pPr>
      <w:r>
        <w:rPr>
          <w:sz w:val="18"/>
        </w:rPr>
        <w:t>All monetary values are constant 2026 US dollars. Abbreviations: CVaR5, conditional value at risk in the worst 5% of outcomes; ePI, expected profitability index; eNPV, expected net present value; MSOG, multiple shots on goal; P5, fifth-percentile NPV; PIAP, pipeline in a pill.</w:t>
      </w:r>
    </w:p>
    <w:p>
      <w:r>
        <w:br w:type="page"/>
      </w:r>
    </w:p>
    <w:p>
      <w:pPr>
        <w:keepNext/>
        <w:spacing w:line="240" w:lineRule="auto"/>
      </w:pPr>
      <w:r>
        <w:rPr>
          <w:b/>
        </w:rPr>
        <w:t>Table 3. Decision outputs from matched-heterogeneity robustness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2340"/>
            <w:vAlign w:val="center"/>
          </w:tcPr>
          <w:p>
            <w:pPr>
              <w:spacing w:line="240" w:lineRule="auto" w:after="0"/>
            </w:pPr>
            <w:r>
              <w:rPr>
                <w:rFonts w:ascii="Times New Roman" w:hAnsi="Times New Roman"/>
                <w:b/>
                <w:sz w:val="16"/>
              </w:rPr>
              <w:t>Decision output</w:t>
            </w:r>
          </w:p>
        </w:tc>
        <w:tc>
          <w:tcPr>
            <w:tcW w:type="dxa" w:w="2340"/>
            <w:vAlign w:val="center"/>
          </w:tcPr>
          <w:p>
            <w:pPr>
              <w:spacing w:line="240" w:lineRule="auto" w:after="0"/>
            </w:pPr>
            <w:r>
              <w:rPr>
                <w:rFonts w:ascii="Times New Roman" w:hAnsi="Times New Roman"/>
                <w:b/>
                <w:sz w:val="16"/>
              </w:rPr>
              <w:t>PIAP</w:t>
            </w:r>
          </w:p>
        </w:tc>
        <w:tc>
          <w:tcPr>
            <w:tcW w:type="dxa" w:w="2340"/>
            <w:vAlign w:val="center"/>
          </w:tcPr>
          <w:p>
            <w:pPr>
              <w:spacing w:line="240" w:lineRule="auto" w:after="0"/>
            </w:pPr>
            <w:r>
              <w:rPr>
                <w:rFonts w:ascii="Times New Roman" w:hAnsi="Times New Roman"/>
                <w:b/>
                <w:sz w:val="16"/>
              </w:rPr>
              <w:t>MSOG or comparator</w:t>
            </w:r>
          </w:p>
        </w:tc>
        <w:tc>
          <w:tcPr>
            <w:tcW w:type="dxa" w:w="2340"/>
            <w:vAlign w:val="center"/>
          </w:tcPr>
          <w:p>
            <w:pPr>
              <w:spacing w:line="240" w:lineRule="auto" w:after="0"/>
            </w:pPr>
            <w:r>
              <w:rPr>
                <w:rFonts w:ascii="Times New Roman" w:hAnsi="Times New Roman"/>
                <w:b/>
                <w:sz w:val="16"/>
              </w:rPr>
              <w:t>Interpretation</w:t>
            </w:r>
          </w:p>
        </w:tc>
      </w:tr>
      <w:tr>
        <w:trPr>
          <w:cantSplit/>
        </w:trPr>
        <w:tc>
          <w:tcPr>
            <w:tcW w:type="dxa" w:w="2340"/>
            <w:vAlign w:val="center"/>
          </w:tcPr>
          <w:p>
            <w:pPr>
              <w:spacing w:line="240" w:lineRule="auto" w:after="0"/>
            </w:pPr>
            <w:r>
              <w:rPr>
                <w:rFonts w:ascii="Times New Roman" w:hAnsi="Times New Roman"/>
                <w:b w:val="0"/>
                <w:sz w:val="16"/>
              </w:rPr>
              <w:t>Median R&amp;D saving frontier</w:t>
            </w:r>
          </w:p>
        </w:tc>
        <w:tc>
          <w:tcPr>
            <w:tcW w:type="dxa" w:w="2340"/>
            <w:vAlign w:val="center"/>
          </w:tcPr>
          <w:p>
            <w:pPr>
              <w:spacing w:line="240" w:lineRule="auto" w:after="0"/>
            </w:pPr>
            <w:r>
              <w:rPr>
                <w:rFonts w:ascii="Times New Roman" w:hAnsi="Times New Roman"/>
                <w:b w:val="0"/>
                <w:sz w:val="16"/>
              </w:rPr>
              <w:t>23%</w:t>
            </w:r>
          </w:p>
        </w:tc>
        <w:tc>
          <w:tcPr>
            <w:tcW w:type="dxa" w:w="2340"/>
            <w:vAlign w:val="center"/>
          </w:tcPr>
          <w:p>
            <w:pPr>
              <w:spacing w:line="240" w:lineRule="auto" w:after="0"/>
            </w:pPr>
            <w:r>
              <w:rPr>
                <w:rFonts w:ascii="Times New Roman" w:hAnsi="Times New Roman"/>
                <w:b w:val="0"/>
                <w:sz w:val="16"/>
              </w:rPr>
              <w:t>20%</w:t>
            </w:r>
          </w:p>
        </w:tc>
        <w:tc>
          <w:tcPr>
            <w:tcW w:type="dxa" w:w="2340"/>
            <w:vAlign w:val="center"/>
          </w:tcPr>
          <w:p>
            <w:pPr>
              <w:spacing w:line="240" w:lineRule="auto" w:after="0"/>
            </w:pPr>
            <w:r>
              <w:rPr>
                <w:rFonts w:ascii="Times New Roman" w:hAnsi="Times New Roman"/>
                <w:b w:val="0"/>
                <w:sz w:val="16"/>
              </w:rPr>
              <w:t>Compensating synergy differs by concentration geometry</w:t>
            </w:r>
          </w:p>
        </w:tc>
      </w:tr>
      <w:tr>
        <w:trPr>
          <w:cantSplit/>
        </w:trPr>
        <w:tc>
          <w:tcPr>
            <w:tcW w:type="dxa" w:w="2340"/>
            <w:vAlign w:val="center"/>
          </w:tcPr>
          <w:p>
            <w:pPr>
              <w:spacing w:line="240" w:lineRule="auto" w:after="0"/>
            </w:pPr>
            <w:r>
              <w:rPr>
                <w:rFonts w:ascii="Times New Roman" w:hAnsi="Times New Roman"/>
                <w:b w:val="0"/>
                <w:sz w:val="16"/>
              </w:rPr>
              <w:t>10th-90th percentile</w:t>
            </w:r>
          </w:p>
        </w:tc>
        <w:tc>
          <w:tcPr>
            <w:tcW w:type="dxa" w:w="2340"/>
            <w:vAlign w:val="center"/>
          </w:tcPr>
          <w:p>
            <w:pPr>
              <w:spacing w:line="240" w:lineRule="auto" w:after="0"/>
            </w:pPr>
            <w:r>
              <w:rPr>
                <w:rFonts w:ascii="Times New Roman" w:hAnsi="Times New Roman"/>
                <w:b w:val="0"/>
                <w:sz w:val="16"/>
              </w:rPr>
              <w:t>15%-29%</w:t>
            </w:r>
          </w:p>
        </w:tc>
        <w:tc>
          <w:tcPr>
            <w:tcW w:type="dxa" w:w="2340"/>
            <w:vAlign w:val="center"/>
          </w:tcPr>
          <w:p>
            <w:pPr>
              <w:spacing w:line="240" w:lineRule="auto" w:after="0"/>
            </w:pPr>
            <w:r>
              <w:rPr>
                <w:rFonts w:ascii="Times New Roman" w:hAnsi="Times New Roman"/>
                <w:b w:val="0"/>
                <w:sz w:val="16"/>
              </w:rPr>
              <w:t>12%-27%</w:t>
            </w:r>
          </w:p>
        </w:tc>
        <w:tc>
          <w:tcPr>
            <w:tcW w:type="dxa" w:w="2340"/>
            <w:vAlign w:val="center"/>
          </w:tcPr>
          <w:p>
            <w:pPr>
              <w:spacing w:line="240" w:lineRule="auto" w:after="0"/>
            </w:pPr>
            <w:r>
              <w:rPr>
                <w:rFonts w:ascii="Times New Roman" w:hAnsi="Times New Roman"/>
                <w:b w:val="0"/>
                <w:sz w:val="16"/>
              </w:rPr>
              <w:t>A benchmark is a distribution across opportunity sets</w:t>
            </w:r>
          </w:p>
        </w:tc>
      </w:tr>
      <w:tr>
        <w:trPr>
          <w:cantSplit/>
        </w:trPr>
        <w:tc>
          <w:tcPr>
            <w:tcW w:type="dxa" w:w="2340"/>
            <w:vAlign w:val="center"/>
          </w:tcPr>
          <w:p>
            <w:pPr>
              <w:spacing w:line="240" w:lineRule="auto" w:after="0"/>
            </w:pPr>
            <w:r>
              <w:rPr>
                <w:rFonts w:ascii="Times New Roman" w:hAnsi="Times New Roman"/>
                <w:b w:val="0"/>
                <w:sz w:val="16"/>
              </w:rPr>
              <w:t>No solution through 30%</w:t>
            </w:r>
          </w:p>
        </w:tc>
        <w:tc>
          <w:tcPr>
            <w:tcW w:type="dxa" w:w="2340"/>
            <w:vAlign w:val="center"/>
          </w:tcPr>
          <w:p>
            <w:pPr>
              <w:spacing w:line="240" w:lineRule="auto" w:after="0"/>
            </w:pPr>
            <w:r>
              <w:rPr>
                <w:rFonts w:ascii="Times New Roman" w:hAnsi="Times New Roman"/>
                <w:b w:val="0"/>
                <w:sz w:val="16"/>
              </w:rPr>
              <w:t>17.0%</w:t>
            </w:r>
          </w:p>
        </w:tc>
        <w:tc>
          <w:tcPr>
            <w:tcW w:type="dxa" w:w="2340"/>
            <w:vAlign w:val="center"/>
          </w:tcPr>
          <w:p>
            <w:pPr>
              <w:spacing w:line="240" w:lineRule="auto" w:after="0"/>
            </w:pPr>
            <w:r>
              <w:rPr>
                <w:rFonts w:ascii="Times New Roman" w:hAnsi="Times New Roman"/>
                <w:b w:val="0"/>
                <w:sz w:val="16"/>
              </w:rPr>
              <w:t>5.9%</w:t>
            </w:r>
          </w:p>
        </w:tc>
        <w:tc>
          <w:tcPr>
            <w:tcW w:type="dxa" w:w="2340"/>
            <w:vAlign w:val="center"/>
          </w:tcPr>
          <w:p>
            <w:pPr>
              <w:spacing w:line="240" w:lineRule="auto" w:after="0"/>
            </w:pPr>
            <w:r>
              <w:rPr>
                <w:rFonts w:ascii="Times New Roman" w:hAnsi="Times New Roman"/>
                <w:b w:val="0"/>
                <w:sz w:val="16"/>
              </w:rPr>
              <w:t>Some portfolios remain outside policy limits</w:t>
            </w:r>
          </w:p>
        </w:tc>
      </w:tr>
      <w:tr>
        <w:trPr>
          <w:cantSplit/>
        </w:trPr>
        <w:tc>
          <w:tcPr>
            <w:tcW w:type="dxa" w:w="2340"/>
            <w:vAlign w:val="center"/>
          </w:tcPr>
          <w:p>
            <w:pPr>
              <w:spacing w:line="240" w:lineRule="auto" w:after="0"/>
            </w:pPr>
            <w:r>
              <w:rPr>
                <w:rFonts w:ascii="Times New Roman" w:hAnsi="Times New Roman"/>
                <w:b w:val="0"/>
                <w:sz w:val="16"/>
              </w:rPr>
              <w:t>Clear by 20% saving</w:t>
            </w:r>
          </w:p>
        </w:tc>
        <w:tc>
          <w:tcPr>
            <w:tcW w:type="dxa" w:w="2340"/>
            <w:vAlign w:val="center"/>
          </w:tcPr>
          <w:p>
            <w:pPr>
              <w:spacing w:line="240" w:lineRule="auto" w:after="0"/>
            </w:pPr>
            <w:r>
              <w:rPr>
                <w:rFonts w:ascii="Times New Roman" w:hAnsi="Times New Roman"/>
                <w:b w:val="0"/>
                <w:sz w:val="16"/>
              </w:rPr>
              <w:t>25.6%</w:t>
            </w:r>
          </w:p>
        </w:tc>
        <w:tc>
          <w:tcPr>
            <w:tcW w:type="dxa" w:w="2340"/>
            <w:vAlign w:val="center"/>
          </w:tcPr>
          <w:p>
            <w:pPr>
              <w:spacing w:line="240" w:lineRule="auto" w:after="0"/>
            </w:pPr>
            <w:r>
              <w:rPr>
                <w:rFonts w:ascii="Times New Roman" w:hAnsi="Times New Roman"/>
                <w:b w:val="0"/>
                <w:sz w:val="16"/>
              </w:rPr>
              <w:t>49.6%</w:t>
            </w:r>
          </w:p>
        </w:tc>
        <w:tc>
          <w:tcPr>
            <w:tcW w:type="dxa" w:w="2340"/>
            <w:vAlign w:val="center"/>
          </w:tcPr>
          <w:p>
            <w:pPr>
              <w:spacing w:line="240" w:lineRule="auto" w:after="0"/>
            </w:pPr>
            <w:r>
              <w:rPr>
                <w:rFonts w:ascii="Times New Roman" w:hAnsi="Times New Roman"/>
                <w:b w:val="0"/>
                <w:sz w:val="16"/>
              </w:rPr>
              <w:t>The flat 20% result is not a universal threshold</w:t>
            </w:r>
          </w:p>
        </w:tc>
      </w:tr>
      <w:tr>
        <w:trPr>
          <w:cantSplit/>
        </w:trPr>
        <w:tc>
          <w:tcPr>
            <w:tcW w:type="dxa" w:w="2340"/>
            <w:vAlign w:val="center"/>
          </w:tcPr>
          <w:p>
            <w:pPr>
              <w:spacing w:line="240" w:lineRule="auto" w:after="0"/>
            </w:pPr>
            <w:r>
              <w:rPr>
                <w:rFonts w:ascii="Times New Roman" w:hAnsi="Times New Roman"/>
                <w:b w:val="0"/>
                <w:sz w:val="16"/>
              </w:rPr>
              <w:t>Base-capacity growth solution</w:t>
            </w:r>
          </w:p>
        </w:tc>
        <w:tc>
          <w:tcPr>
            <w:tcW w:type="dxa" w:w="2340"/>
            <w:vAlign w:val="center"/>
          </w:tcPr>
          <w:p>
            <w:pPr>
              <w:spacing w:line="240" w:lineRule="auto" w:after="0"/>
            </w:pPr>
            <w:r>
              <w:rPr>
                <w:rFonts w:ascii="Times New Roman" w:hAnsi="Times New Roman"/>
                <w:b w:val="0"/>
                <w:sz w:val="16"/>
              </w:rPr>
              <w:t>0 of 1,000</w:t>
            </w:r>
          </w:p>
        </w:tc>
        <w:tc>
          <w:tcPr>
            <w:tcW w:type="dxa" w:w="2340"/>
            <w:vAlign w:val="center"/>
          </w:tcPr>
          <w:p>
            <w:pPr>
              <w:spacing w:line="240" w:lineRule="auto" w:after="0"/>
            </w:pPr>
            <w:r>
              <w:rPr>
                <w:rFonts w:ascii="Times New Roman" w:hAnsi="Times New Roman"/>
                <w:b w:val="0"/>
                <w:sz w:val="16"/>
              </w:rPr>
              <w:t>0 of 1,000</w:t>
            </w:r>
          </w:p>
        </w:tc>
        <w:tc>
          <w:tcPr>
            <w:tcW w:type="dxa" w:w="2340"/>
            <w:vAlign w:val="center"/>
          </w:tcPr>
          <w:p>
            <w:pPr>
              <w:spacing w:line="240" w:lineRule="auto" w:after="0"/>
            </w:pPr>
            <w:r>
              <w:rPr>
                <w:rFonts w:ascii="Times New Roman" w:hAnsi="Times New Roman"/>
                <w:b w:val="0"/>
                <w:sz w:val="16"/>
              </w:rPr>
              <w:t>Capacity can bind across the full sampled opportunity space</w:t>
            </w:r>
          </w:p>
        </w:tc>
      </w:tr>
      <w:tr>
        <w:trPr>
          <w:cantSplit/>
        </w:trPr>
        <w:tc>
          <w:tcPr>
            <w:tcW w:type="dxa" w:w="2340"/>
            <w:vAlign w:val="center"/>
          </w:tcPr>
          <w:p>
            <w:pPr>
              <w:spacing w:line="240" w:lineRule="auto" w:after="0"/>
            </w:pPr>
            <w:r>
              <w:rPr>
                <w:rFonts w:ascii="Times New Roman" w:hAnsi="Times New Roman"/>
                <w:b w:val="0"/>
                <w:sz w:val="16"/>
              </w:rPr>
              <w:t>Starts for 80% launch service</w:t>
            </w:r>
          </w:p>
        </w:tc>
        <w:tc>
          <w:tcPr>
            <w:tcW w:type="dxa" w:w="2340"/>
            <w:vAlign w:val="center"/>
          </w:tcPr>
          <w:p>
            <w:pPr>
              <w:spacing w:line="240" w:lineRule="auto" w:after="0"/>
            </w:pPr>
            <w:r>
              <w:rPr>
                <w:rFonts w:ascii="Times New Roman" w:hAnsi="Times New Roman"/>
                <w:b w:val="0"/>
                <w:sz w:val="16"/>
              </w:rPr>
              <w:t>25</w:t>
            </w:r>
          </w:p>
        </w:tc>
        <w:tc>
          <w:tcPr>
            <w:tcW w:type="dxa" w:w="2340"/>
            <w:vAlign w:val="center"/>
          </w:tcPr>
          <w:p>
            <w:pPr>
              <w:spacing w:line="240" w:lineRule="auto" w:after="0"/>
            </w:pPr>
            <w:r>
              <w:rPr>
                <w:rFonts w:ascii="Times New Roman" w:hAnsi="Times New Roman"/>
                <w:b w:val="0"/>
                <w:sz w:val="16"/>
              </w:rPr>
              <w:t>21 MSOG; 19 diversified</w:t>
            </w:r>
          </w:p>
        </w:tc>
        <w:tc>
          <w:tcPr>
            <w:tcW w:type="dxa" w:w="2340"/>
            <w:vAlign w:val="center"/>
          </w:tcPr>
          <w:p>
            <w:pPr>
              <w:spacing w:line="240" w:lineRule="auto" w:after="0"/>
            </w:pPr>
            <w:r>
              <w:rPr>
                <w:rFonts w:ascii="Times New Roman" w:hAnsi="Times New Roman"/>
                <w:b w:val="0"/>
                <w:sz w:val="16"/>
              </w:rPr>
              <w:t>Nominal breadth understates concentration</w:t>
            </w:r>
          </w:p>
        </w:tc>
      </w:tr>
      <w:tr>
        <w:trPr>
          <w:cantSplit/>
        </w:trPr>
        <w:tc>
          <w:tcPr>
            <w:tcW w:type="dxa" w:w="2340"/>
            <w:vAlign w:val="center"/>
          </w:tcPr>
          <w:p>
            <w:pPr>
              <w:spacing w:line="240" w:lineRule="auto" w:after="0"/>
            </w:pPr>
            <w:r>
              <w:rPr>
                <w:rFonts w:ascii="Times New Roman" w:hAnsi="Times New Roman"/>
                <w:b w:val="0"/>
                <w:sz w:val="16"/>
              </w:rPr>
              <w:t>Staged minus parallel eNPV</w:t>
            </w:r>
          </w:p>
        </w:tc>
        <w:tc>
          <w:tcPr>
            <w:tcW w:type="dxa" w:w="2340"/>
            <w:vAlign w:val="center"/>
          </w:tcPr>
          <w:p>
            <w:pPr>
              <w:spacing w:line="240" w:lineRule="auto" w:after="0"/>
            </w:pPr>
            <w:r>
              <w:rPr>
                <w:rFonts w:ascii="Times New Roman" w:hAnsi="Times New Roman"/>
                <w:b w:val="0"/>
                <w:sz w:val="16"/>
              </w:rPr>
              <w:t>Median -$428M</w:t>
            </w:r>
          </w:p>
        </w:tc>
        <w:tc>
          <w:tcPr>
            <w:tcW w:type="dxa" w:w="2340"/>
            <w:vAlign w:val="center"/>
          </w:tcPr>
          <w:p>
            <w:pPr>
              <w:spacing w:line="240" w:lineRule="auto" w:after="0"/>
            </w:pPr>
            <w:r>
              <w:rPr>
                <w:rFonts w:ascii="Times New Roman" w:hAnsi="Times New Roman"/>
                <w:b w:val="0"/>
                <w:sz w:val="16"/>
              </w:rPr>
              <w:t>10th-90th: -$559M to -$313M</w:t>
            </w:r>
          </w:p>
        </w:tc>
        <w:tc>
          <w:tcPr>
            <w:tcW w:type="dxa" w:w="2340"/>
            <w:vAlign w:val="center"/>
          </w:tcPr>
          <w:p>
            <w:pPr>
              <w:spacing w:line="240" w:lineRule="auto" w:after="0"/>
            </w:pPr>
            <w:r>
              <w:rPr>
                <w:rFonts w:ascii="Times New Roman" w:hAnsi="Times New Roman"/>
                <w:b w:val="0"/>
                <w:sz w:val="16"/>
              </w:rPr>
              <w:t>Cost saving did not offset delayed revenue</w:t>
            </w:r>
          </w:p>
        </w:tc>
      </w:tr>
      <w:tr>
        <w:trPr>
          <w:cantSplit/>
        </w:trPr>
        <w:tc>
          <w:tcPr>
            <w:tcW w:type="dxa" w:w="2340"/>
            <w:vAlign w:val="center"/>
          </w:tcPr>
          <w:p>
            <w:pPr>
              <w:spacing w:line="240" w:lineRule="auto" w:after="0"/>
            </w:pPr>
            <w:r>
              <w:rPr>
                <w:rFonts w:ascii="Times New Roman" w:hAnsi="Times New Roman"/>
                <w:b w:val="0"/>
                <w:sz w:val="16"/>
              </w:rPr>
              <w:t>Ignored-overlap regret</w:t>
            </w:r>
          </w:p>
        </w:tc>
        <w:tc>
          <w:tcPr>
            <w:tcW w:type="dxa" w:w="2340"/>
            <w:vAlign w:val="center"/>
          </w:tcPr>
          <w:p>
            <w:pPr>
              <w:spacing w:line="240" w:lineRule="auto" w:after="0"/>
            </w:pPr>
            <w:r>
              <w:rPr>
                <w:rFonts w:ascii="Times New Roman" w:hAnsi="Times New Roman"/>
                <w:b w:val="0"/>
                <w:sz w:val="16"/>
              </w:rPr>
              <w:t>Median $59M</w:t>
            </w:r>
          </w:p>
        </w:tc>
        <w:tc>
          <w:tcPr>
            <w:tcW w:type="dxa" w:w="2340"/>
            <w:vAlign w:val="center"/>
          </w:tcPr>
          <w:p>
            <w:pPr>
              <w:spacing w:line="240" w:lineRule="auto" w:after="0"/>
            </w:pPr>
            <w:r>
              <w:rPr>
                <w:rFonts w:ascii="Times New Roman" w:hAnsi="Times New Roman"/>
                <w:b w:val="0"/>
                <w:sz w:val="16"/>
              </w:rPr>
              <w:t>90th percentile $94M</w:t>
            </w:r>
          </w:p>
        </w:tc>
        <w:tc>
          <w:tcPr>
            <w:tcW w:type="dxa" w:w="2340"/>
            <w:vAlign w:val="center"/>
          </w:tcPr>
          <w:p>
            <w:pPr>
              <w:spacing w:line="240" w:lineRule="auto" w:after="0"/>
            </w:pPr>
            <w:r>
              <w:rPr>
                <w:rFonts w:ascii="Times New Roman" w:hAnsi="Times New Roman"/>
                <w:b w:val="0"/>
                <w:sz w:val="16"/>
              </w:rPr>
              <w:t>Assumption error is economically material</w:t>
            </w:r>
          </w:p>
        </w:tc>
      </w:tr>
    </w:tbl>
    <w:p>
      <w:pPr>
        <w:spacing w:line="240" w:lineRule="auto"/>
      </w:pPr>
      <w:r>
        <w:rPr>
          <w:sz w:val="18"/>
        </w:rPr>
        <w:t>All monetary values are constant 2026 US dollars. Abbreviations: eNPV, expected net present value; MSOG, multiple shots on goal; PIAP, pipeline in a pill.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Independent Shots on Goal: Risk Capacity, Synergy, and Concentration in Pharmaceutical R&amp;D Portfolios</dc:title>
  <dc:subject>TIRS Research Article submission manuscript</dc:subject>
  <dc:creator>Michael R. Doane</dc:creator>
  <cp:keywords>Pharmaceutical R&amp;D; Portfolio management; Risk capacity; Technical dependence; Revenue cannibalization; Expected net present value</cp:keywords>
  <dc:description>generated by python-docx</dc:description>
  <cp:lastModifiedBy/>
  <cp:revision>1</cp:revision>
  <dcterms:created xsi:type="dcterms:W3CDTF">2013-12-23T23:15:00Z</dcterms:created>
  <dcterms:modified xsi:type="dcterms:W3CDTF">2013-12-23T23:15:00Z</dcterms:modified>
  <cp:category/>
</cp:coreProperties>
</file>