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Supplementary Material</w:t>
      </w:r>
    </w:p>
    <w:p>
      <w:pPr>
        <w:jc w:val="center"/>
      </w:pPr>
      <w:r>
        <w:t>Beyond Independent Shots on Goal: Risk Capacity, Synergy, and Concentration in Pharmaceutical R&amp;D Portfolios</w:t>
      </w:r>
    </w:p>
    <w:p>
      <w:pPr>
        <w:jc w:val="center"/>
      </w:pPr>
      <w:r>
        <w:t>Michael R. Doane, D.Eng.</w:t>
      </w:r>
    </w:p>
    <w:p>
      <w:pPr>
        <w:pStyle w:val="Heading1"/>
      </w:pPr>
      <w:r>
        <w:t>Supplementary Methods</w:t>
      </w:r>
    </w:p>
    <w:p>
      <w:pPr>
        <w:pStyle w:val="Heading2"/>
      </w:pPr>
      <w:r>
        <w:t>Exact Matched-Heterogeneity Integration</w:t>
      </w:r>
    </w:p>
    <w:p>
      <w:pPr/>
      <w:r>
        <w:t>The matched-heterogeneity analysis used 1,000 Latin hypercube opportunity sets. Each set contained six programs and was held fixed across diversified, pipeline-in-a-pill, and multiple-shots-on-goal topologies. Cumulative pTRS followed a triangular distribution with lower bound 0.075, mode 0.151, and upper bound 0.227. Development-cost multipliers ranged from 0.70 to 1.30, peak-sales multipliers from 0.50 to 1.50, and phase durations varied over prespecified half-year increments.</w:t>
      </w:r>
    </w:p>
    <w:p>
      <w:pPr/>
      <w:r>
        <w:t>For every opportunity set, the analysis enumerated all 4^6 realized program-state combinations: Phase 2 failure, Phase 3 failure, regulatory failure, or launch. A 32-node Gauss-Hermite quadrature integrated the common Gaussian factor. Exact integration removed screening noise from the 1,000-cell frontier. Eight cells near decision boundaries were independently evaluated with 250,000 Monte Carlo paths each.</w:t>
      </w:r>
    </w:p>
    <w:p>
      <w:pPr>
        <w:pStyle w:val="Heading2"/>
      </w:pPr>
      <w:r>
        <w:t>Decision and Validation Rules</w:t>
      </w:r>
    </w:p>
    <w:p>
      <w:pPr/>
      <w:r>
        <w:t>A concentrated topology cleared the primary frontier when expected NPV was no worse than diversification within $25 million, fifth-percentile NPV was at least -$1,000 million, and high-capacity breach probability was at most 10%. Synergy was evaluated from 0% to 30% in one-percentage-point increments. Boundary-confirmation criteria were a maximum $25 million half-width for eNPV differences, a maximum 0.25-percentage-point half-width for probabilities, and at least 75% exact-estimate coverage by Monte Carlo intervals.</w:t>
      </w:r>
    </w:p>
    <w:p>
      <w:pPr/>
      <w:r>
        <w:t>Launch-service analysis estimated the nominal breadth required for 70%, 80%, and 90% probabilities of achieving at least one, two, or three launches per rolling three-year period. Each portfolio geometry used 250,000 paths. Figure S1 shows the heterogeneous launch-service frontier.</w:t>
      </w:r>
    </w:p>
    <w:p>
      <w:r>
        <w:br w:type="page"/>
      </w:r>
    </w:p>
    <w:p>
      <w:pPr>
        <w:keepNext/>
        <w:spacing w:line="240" w:lineRule="auto"/>
      </w:pPr>
      <w:r>
        <w:rPr>
          <w:b/>
        </w:rPr>
        <w:t>Table S1. Numerical and reproducibility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6"/>
              </w:rPr>
              <w:t>Check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6"/>
              </w:rPr>
              <w:t>Observed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6"/>
              </w:rPr>
              <w:t>Criterion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Unit tests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18 passed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All pass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E8 exact-to-MC eNPV coverage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75%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&gt;=75%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E8 exact-to-MC breach coverage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75%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&gt;=75%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Maximum eNPV half-width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$6.90M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&lt;=$25M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Maximum breach half-width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0.082 pp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&lt;=0.25 pp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Flat diversified eNPV reconciliation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$1.11M difference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&lt;=$25M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Flat PIAP eNPV reconciliation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$0.74M difference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&lt;=$25M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Flat PIAP breach reconciliation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0.019 pp difference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&lt;=0.50 pp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Pass</w:t>
            </w:r>
          </w:p>
        </w:tc>
      </w:tr>
    </w:tbl>
    <w:p>
      <w:pPr>
        <w:spacing w:line="240" w:lineRule="auto"/>
      </w:pPr>
      <w:r>
        <w:rPr>
          <w:sz w:val="18"/>
        </w:rPr>
        <w:t>Abbreviations: eNPV, expected net present value; MC, Monte Carlo; PIAP, pipeline in a pill; pp, percentage points.</w:t>
      </w:r>
    </w:p>
    <w:p>
      <w:r>
        <w:br w:type="page"/>
      </w:r>
    </w:p>
    <w:p>
      <w:pPr>
        <w:keepNext/>
        <w:spacing w:line="240" w:lineRule="auto"/>
      </w:pPr>
      <w:r>
        <w:rPr>
          <w:b/>
        </w:rPr>
        <w:t>Table S2. Matched-heterogeneity input distributions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6"/>
              </w:rPr>
              <w:t>Input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6"/>
              </w:rPr>
              <w:t>Distribution or range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6"/>
              </w:rPr>
              <w:t>Mode or central value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Cumulative pTRS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Triangular: 0.075-0.227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0.151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Development-cost multiplier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Triangular: 0.70-1.30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Peak-sales multiplier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Triangular: 0.50-1.50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Phase 2 duration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1.5-3.0 years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1.5 years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Phase 3 duration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2.0-4.0 years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3.0 years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Regulatory duration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0.5-1.5 years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1.0 year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PIAP latent rho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Fixed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0.415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MSOG latent rho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Fixed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0.250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LOE year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Fixed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</w:tr>
    </w:tbl>
    <w:p>
      <w:pPr>
        <w:spacing w:line="240" w:lineRule="auto"/>
      </w:pPr>
      <w:r>
        <w:rPr>
          <w:sz w:val="18"/>
        </w:rPr>
        <w:t>Abbreviations: LOE, loss of exclusivity; MSOG, multiple shots on goal; PIAP, pipeline in a pill; pTRS, probability of technical and regulatory success.</w:t>
      </w:r>
    </w:p>
    <w:p>
      <w:r>
        <w:br w:type="page"/>
      </w:r>
    </w:p>
    <w:p>
      <w:pPr>
        <w:pStyle w:val="Heading1"/>
      </w:pPr>
      <w:r>
        <w:t>Supplementary Figure Legend</w:t>
      </w:r>
    </w:p>
    <w:p>
      <w:pPr/>
      <w:r>
        <w:t>Figure S1. Heterogeneous launch-service frontier. Nominal starts and variance-equivalent breadth required to reach 70%, 80%, and 90% service targets under matched opportunity heterogeneity. PIAP, pipeline in a pill; MSOG, multiple shots on goal.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015001"/>
            <wp:docPr id="1" name="Picture 1" title="Figure S1" descr="Heterogeneous launch-service frontier comparing diversified, multiple-shots-on-goal, and pipeline-in-a-pill portfolio struct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heterogeneous_launch_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5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Supplementary Interpretation Guide</w:t>
      </w:r>
    </w:p>
    <w:p>
      <w:pPr>
        <w:pStyle w:val="ListBullet"/>
        <w:spacing w:line="480" w:lineRule="auto"/>
      </w:pPr>
      <w:r>
        <w:t>Map topology before assigning dependence: shared asset, target, pathway, indication, platform, execution dependency, and commercial market.</w:t>
      </w:r>
    </w:p>
    <w:p>
      <w:pPr>
        <w:pStyle w:val="ListBullet"/>
        <w:spacing w:line="480" w:lineRule="auto"/>
      </w:pPr>
      <w:r>
        <w:t>Keep technical dependence, cost synergy, acceleration, and cannibalization as separate mechanisms.</w:t>
      </w:r>
    </w:p>
    <w:p>
      <w:pPr>
        <w:pStyle w:val="ListBullet"/>
        <w:spacing w:line="480" w:lineRule="auto"/>
      </w:pPr>
      <w:r>
        <w:t>State P5, CVaR, capacity-breach, and launch-service limits before evaluating a preferred strategy.</w:t>
      </w:r>
    </w:p>
    <w:p>
      <w:pPr>
        <w:pStyle w:val="ListBullet"/>
        <w:spacing w:line="480" w:lineRule="auto"/>
      </w:pPr>
      <w:r>
        <w:t>Report the minimum synergy required and identify the binding decision constraint.</w:t>
      </w:r>
    </w:p>
    <w:p>
      <w:pPr>
        <w:pStyle w:val="ListBullet"/>
        <w:spacing w:line="480" w:lineRule="auto"/>
      </w:pPr>
      <w:r>
        <w:t>Revalue the selected strategy under dependence and revenue assumptions that could reverse the decision.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Beyond Independent Shots on Goal: Risk Capacity, Synergy, and Concentration in Pharmaceutical R&amp;D Portfolios</dc:title>
  <dc:subject/>
  <dc:creator>Michael R. Doane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