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troduction-and-objectives"/>
    <w:p>
      <w:pPr>
        <w:pStyle w:val="Heading1"/>
      </w:pPr>
      <w:r>
        <w:t xml:space="preserve">01 — Introduction and Objectives</w:t>
      </w:r>
    </w:p>
    <w:bookmarkStart w:id="9" w:name="introduction"/>
    <w:p>
      <w:pPr>
        <w:pStyle w:val="Heading2"/>
      </w:pPr>
      <w:r>
        <w:t xml:space="preserve">1.1 Introduction</w:t>
      </w:r>
    </w:p>
    <w:p>
      <w:pPr>
        <w:pStyle w:val="FirstParagraph"/>
      </w:pPr>
      <w:r>
        <w:t xml:space="preserve">This document is part of the</w:t>
      </w:r>
      <w:r>
        <w:t xml:space="preserve"> </w:t>
      </w:r>
      <w:r>
        <w:rPr>
          <w:b/>
          <w:bCs/>
        </w:rPr>
        <w:t xml:space="preserve">security, reliability, and robustness evaluation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PakSentiment</w:t>
      </w:r>
      <w:r>
        <w:t xml:space="preserve"> </w:t>
      </w:r>
      <w:r>
        <w:t xml:space="preserve">(codenamed DataInsight), a Final Year Project developed at</w:t>
      </w:r>
      <w:r>
        <w:t xml:space="preserve"> </w:t>
      </w:r>
      <w:r>
        <w:rPr>
          <w:b/>
          <w:bCs/>
        </w:rPr>
        <w:t xml:space="preserve">AIR University</w:t>
      </w:r>
      <w:r>
        <w:t xml:space="preserve">, Department of Creative Technologies. PakSentiment is a multi-tier social media sentiment analysis platform comprising a Next.js frontend, NestJS API orchestrator, FastAPI data gateway, Go Colly sidecar, and PostgreSQL, MongoDB, and Redis data stores.</w:t>
      </w:r>
    </w:p>
    <w:p>
      <w:pPr>
        <w:pStyle w:val="BodyText"/>
      </w:pPr>
      <w:r>
        <w:t xml:space="preserve">The evaluation follows</w:t>
      </w:r>
      <w:r>
        <w:t xml:space="preserve"> </w:t>
      </w:r>
      <w:r>
        <w:rPr>
          <w:b/>
          <w:bCs/>
        </w:rPr>
        <w:t xml:space="preserve">ethical and authorized</w:t>
      </w:r>
      <w:r>
        <w:t xml:space="preserve"> </w:t>
      </w:r>
      <w:r>
        <w:t xml:space="preserve">vulnerability assessment and penetration testing practices. All testing targets the student-owned deployment (local development or Docker Compose) and does not attack third-party production systems.</w:t>
      </w:r>
    </w:p>
    <w:bookmarkEnd w:id="9"/>
    <w:bookmarkStart w:id="10" w:name="objectives"/>
    <w:p>
      <w:pPr>
        <w:pStyle w:val="Heading2"/>
      </w:pPr>
      <w:r>
        <w:t xml:space="preserve">1.2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Identify vulnerabilities</w:t>
            </w:r>
          </w:p>
        </w:tc>
        <w:tc>
          <w:tcPr/>
          <w:p>
            <w:pPr>
              <w:pStyle w:val="Compact"/>
            </w:pPr>
            <w:r>
              <w:t xml:space="preserve">Detect common flaws: authentication weaknesses, SSRF, insecure APIs, misconfigurations, weak session handling, and related threats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 risk</w:t>
            </w:r>
          </w:p>
        </w:tc>
        <w:tc>
          <w:tcPr/>
          <w:p>
            <w:pPr>
              <w:pStyle w:val="Compact"/>
            </w:pPr>
            <w:r>
              <w:t xml:space="preserve">Rate findings by severity, likelihood, and business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evidence</w:t>
            </w:r>
          </w:p>
        </w:tc>
        <w:tc>
          <w:tcPr/>
          <w:p>
            <w:pPr>
              <w:pStyle w:val="Compact"/>
            </w:pPr>
            <w:r>
              <w:t xml:space="preserve">Provide reproducible steps, scripts, and logs in</w:t>
            </w:r>
            <w:r>
              <w:t xml:space="preserve"> </w:t>
            </w:r>
            <w:r>
              <w:rPr>
                <w:rStyle w:val="VerbatimChar"/>
              </w:rPr>
              <w:t xml:space="preserve">analysis/evidence/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 mitigations</w:t>
            </w:r>
          </w:p>
        </w:tc>
        <w:tc>
          <w:tcPr/>
          <w:p>
            <w:pPr>
              <w:pStyle w:val="Compact"/>
            </w:pPr>
            <w:r>
              <w:t xml:space="preserve">Define a patch roadmap for a follow-up implementation 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demonstration</w:t>
            </w:r>
          </w:p>
        </w:tc>
        <w:tc>
          <w:tcPr/>
          <w:p>
            <w:pPr>
              <w:pStyle w:val="Compact"/>
            </w:pPr>
            <w:r>
              <w:t xml:space="preserve">Enable viva presentation of vulnerabilities and planned secure design</w:t>
            </w:r>
          </w:p>
        </w:tc>
      </w:tr>
    </w:tbl>
    <w:bookmarkEnd w:id="10"/>
    <w:bookmarkStart w:id="12" w:name="scope"/>
    <w:p>
      <w:pPr>
        <w:pStyle w:val="Heading2"/>
      </w:pPr>
      <w:r>
        <w:t xml:space="preserve">1.3 Scope</w:t>
      </w:r>
    </w:p>
    <w:p>
      <w:pPr>
        <w:pStyle w:val="FirstParagraph"/>
      </w:pPr>
      <w:r>
        <w:rPr>
          <w:b/>
          <w:bCs/>
        </w:rPr>
        <w:t xml:space="preserve">In scope:</w:t>
      </w:r>
    </w:p>
    <w:p>
      <w:pPr>
        <w:pStyle w:val="Compact"/>
        <w:numPr>
          <w:ilvl w:val="0"/>
          <w:numId w:val="1001"/>
        </w:numPr>
      </w:pPr>
      <w:r>
        <w:t xml:space="preserve">NestJS main server (</w:t>
      </w:r>
      <w:r>
        <w:rPr>
          <w:rStyle w:val="VerbatimChar"/>
        </w:rPr>
        <w:t xml:space="preserve">main-server/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Next.js frontend (</w:t>
      </w:r>
      <w:r>
        <w:rPr>
          <w:rStyle w:val="VerbatimChar"/>
        </w:rPr>
        <w:t xml:space="preserve">frontend/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FastAPI data gateway (</w:t>
      </w:r>
      <w:r>
        <w:rPr>
          <w:rStyle w:val="VerbatimChar"/>
        </w:rPr>
        <w:t xml:space="preserve">new PakSentiment-data-gateway/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Go Colly sidecar (</w:t>
      </w:r>
      <w:r>
        <w:rPr>
          <w:rStyle w:val="VerbatimChar"/>
        </w:rPr>
        <w:t xml:space="preserve">colly-sidecar/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Docker Compose deployment (</w:t>
      </w:r>
      <w:r>
        <w:rPr>
          <w:rStyle w:val="VerbatimChar"/>
        </w:rPr>
        <w:t xml:space="preserve">docker-compose.yml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Out of scope (this phase):</w:t>
      </w:r>
    </w:p>
    <w:p>
      <w:pPr>
        <w:pStyle w:val="Compact"/>
        <w:numPr>
          <w:ilvl w:val="0"/>
          <w:numId w:val="1002"/>
        </w:numPr>
      </w:pPr>
      <w:r>
        <w:t xml:space="preserve">Third-party APIs (Reddit, YouTube, Groq) beyond abuse-via-our-proxy scenarios</w:t>
      </w:r>
    </w:p>
    <w:p>
      <w:pPr>
        <w:pStyle w:val="Compact"/>
        <w:numPr>
          <w:ilvl w:val="0"/>
          <w:numId w:val="1002"/>
        </w:numPr>
      </w:pPr>
      <w:r>
        <w:t xml:space="preserve">Physical security and social engineering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patches</w:t>
      </w:r>
      <w:r>
        <w:t xml:space="preserve"> </w:t>
      </w:r>
      <w:r>
        <w:t xml:space="preserve">(documented only in</w:t>
      </w:r>
      <w:r>
        <w:t xml:space="preserve"> </w:t>
      </w:r>
      <w:hyperlink r:id="rId11">
        <w:r>
          <w:rPr>
            <w:rStyle w:val="Hyperlink"/>
          </w:rPr>
          <w:t xml:space="preserve">06-patch-implementation-process.md</w:t>
        </w:r>
      </w:hyperlink>
      <w:r>
        <w:t xml:space="preserve">)</w:t>
      </w:r>
    </w:p>
    <w:bookmarkEnd w:id="12"/>
    <w:bookmarkStart w:id="13" w:name="ethics-and-authorization"/>
    <w:p>
      <w:pPr>
        <w:pStyle w:val="Heading2"/>
      </w:pPr>
      <w:r>
        <w:t xml:space="preserve">1.4 Ethics and authorization</w:t>
      </w:r>
    </w:p>
    <w:p>
      <w:pPr>
        <w:pStyle w:val="Compact"/>
        <w:numPr>
          <w:ilvl w:val="0"/>
          <w:numId w:val="1003"/>
        </w:numPr>
      </w:pPr>
      <w:r>
        <w:t xml:space="preserve">Testing is limited to systems under the project team’s control.</w:t>
      </w:r>
    </w:p>
    <w:p>
      <w:pPr>
        <w:pStyle w:val="Compact"/>
        <w:numPr>
          <w:ilvl w:val="0"/>
          <w:numId w:val="1003"/>
        </w:numPr>
      </w:pPr>
      <w:r>
        <w:t xml:space="preserve">SSRF tests use minimal probes; cloud metadata endpoints are tested only to demonstrate risk, not to exfiltrate data.</w:t>
      </w:r>
    </w:p>
    <w:p>
      <w:pPr>
        <w:pStyle w:val="Compact"/>
        <w:numPr>
          <w:ilvl w:val="0"/>
          <w:numId w:val="1003"/>
        </w:numPr>
      </w:pPr>
      <w:r>
        <w:t xml:space="preserve">JWTs and API keys are redacted in committed evidence.</w:t>
      </w:r>
    </w:p>
    <w:p>
      <w:pPr>
        <w:pStyle w:val="Compact"/>
        <w:numPr>
          <w:ilvl w:val="0"/>
          <w:numId w:val="1003"/>
        </w:numPr>
      </w:pPr>
      <w:r>
        <w:t xml:space="preserve">Findings are reported for academic improvement, not malicious exploitation.</w:t>
      </w:r>
    </w:p>
    <w:bookmarkEnd w:id="13"/>
    <w:bookmarkStart w:id="24" w:name="deliverables-mapping"/>
    <w:p>
      <w:pPr>
        <w:pStyle w:val="Heading2"/>
      </w:pPr>
      <w:r>
        <w:t xml:space="preserve">1.5 Deliverables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90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Assignment requirement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Introduction and objectives</w:t>
            </w:r>
          </w:p>
        </w:tc>
        <w:tc>
          <w:tcPr/>
          <w:p>
            <w:pPr>
              <w:pStyle w:val="Compact"/>
            </w:pPr>
            <w:r>
              <w:t xml:space="preserve">This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overview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02-project-overview.md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Testing methodology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03-testing-methodology-and-tools.md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Vulnerability results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04-vulnerability-assessment-results.md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Risk analysis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05-risk-analysis-and-impact.md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evidence/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Patch process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06-patch-implementation-process.md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Before/after comparison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07-before-after-comparison.md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08-challenges-and-solutions.md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09-conclusion-and-recommendations.md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10-executive-summary.md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Demonstration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11-demonstration-guide.md</w:t>
              </w:r>
            </w:hyperlink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02-project-overview.md" TargetMode="External" /><Relationship Type="http://schemas.openxmlformats.org/officeDocument/2006/relationships/hyperlink" Id="rId15" Target="03-testing-methodology-and-tools.md" TargetMode="External" /><Relationship Type="http://schemas.openxmlformats.org/officeDocument/2006/relationships/hyperlink" Id="rId16" Target="04-vulnerability-assessment-results.md" TargetMode="External" /><Relationship Type="http://schemas.openxmlformats.org/officeDocument/2006/relationships/hyperlink" Id="rId17" Target="05-risk-analysis-and-impact.md" TargetMode="External" /><Relationship Type="http://schemas.openxmlformats.org/officeDocument/2006/relationships/hyperlink" Id="rId11" Target="06-patch-implementation-process.md" TargetMode="External" /><Relationship Type="http://schemas.openxmlformats.org/officeDocument/2006/relationships/hyperlink" Id="rId19" Target="07-before-after-comparison.md" TargetMode="External" /><Relationship Type="http://schemas.openxmlformats.org/officeDocument/2006/relationships/hyperlink" Id="rId20" Target="08-challenges-and-solutions.md" TargetMode="External" /><Relationship Type="http://schemas.openxmlformats.org/officeDocument/2006/relationships/hyperlink" Id="rId21" Target="09-conclusion-and-recommendations.md" TargetMode="External" /><Relationship Type="http://schemas.openxmlformats.org/officeDocument/2006/relationships/hyperlink" Id="rId22" Target="10-executive-summary.md" TargetMode="External" /><Relationship Type="http://schemas.openxmlformats.org/officeDocument/2006/relationships/hyperlink" Id="rId23" Target="11-demonstration-guide.md" TargetMode="External" /><Relationship Type="http://schemas.openxmlformats.org/officeDocument/2006/relationships/hyperlink" Id="rId18" Target="evidenc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02-project-overview.md" TargetMode="External" /><Relationship Type="http://schemas.openxmlformats.org/officeDocument/2006/relationships/hyperlink" Id="rId15" Target="03-testing-methodology-and-tools.md" TargetMode="External" /><Relationship Type="http://schemas.openxmlformats.org/officeDocument/2006/relationships/hyperlink" Id="rId16" Target="04-vulnerability-assessment-results.md" TargetMode="External" /><Relationship Type="http://schemas.openxmlformats.org/officeDocument/2006/relationships/hyperlink" Id="rId17" Target="05-risk-analysis-and-impact.md" TargetMode="External" /><Relationship Type="http://schemas.openxmlformats.org/officeDocument/2006/relationships/hyperlink" Id="rId11" Target="06-patch-implementation-process.md" TargetMode="External" /><Relationship Type="http://schemas.openxmlformats.org/officeDocument/2006/relationships/hyperlink" Id="rId19" Target="07-before-after-comparison.md" TargetMode="External" /><Relationship Type="http://schemas.openxmlformats.org/officeDocument/2006/relationships/hyperlink" Id="rId20" Target="08-challenges-and-solutions.md" TargetMode="External" /><Relationship Type="http://schemas.openxmlformats.org/officeDocument/2006/relationships/hyperlink" Id="rId21" Target="09-conclusion-and-recommendations.md" TargetMode="External" /><Relationship Type="http://schemas.openxmlformats.org/officeDocument/2006/relationships/hyperlink" Id="rId22" Target="10-executive-summary.md" TargetMode="External" /><Relationship Type="http://schemas.openxmlformats.org/officeDocument/2006/relationships/hyperlink" Id="rId23" Target="11-demonstration-guide.md" TargetMode="External" /><Relationship Type="http://schemas.openxmlformats.org/officeDocument/2006/relationships/hyperlink" Id="rId18" Target="evidenc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2026-05-31T13:06:31Z</dcterms:created>
  <dcterms:modified xsi:type="dcterms:W3CDTF">2026-05-31T13:06:31Z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