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ing-methodology-and-tools-used"/>
    <w:p>
      <w:pPr>
        <w:pStyle w:val="Heading1"/>
      </w:pPr>
      <w:r>
        <w:t xml:space="preserve">03 — Testing Methodology and Tools Used</w:t>
      </w:r>
    </w:p>
    <w:bookmarkStart w:id="9" w:name="approach"/>
    <w:p>
      <w:pPr>
        <w:pStyle w:val="Heading2"/>
      </w:pPr>
      <w:r>
        <w:t xml:space="preserve">3.1 Approach</w:t>
      </w:r>
    </w:p>
    <w:p>
      <w:pPr>
        <w:pStyle w:val="FirstParagraph"/>
      </w:pPr>
      <w:r>
        <w:t xml:space="preserve">We applied a</w:t>
      </w:r>
      <w:r>
        <w:t xml:space="preserve"> </w:t>
      </w:r>
      <w:r>
        <w:rPr>
          <w:b/>
          <w:bCs/>
        </w:rPr>
        <w:t xml:space="preserve">gray-box</w:t>
      </w:r>
      <w:r>
        <w:t xml:space="preserve"> </w:t>
      </w:r>
      <w:r>
        <w:t xml:space="preserve">methodology: full access to source code plus dynamic testing against a running deployment. Testing phases: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Reconnaissance</w:t>
      </w:r>
      <w:r>
        <w:t xml:space="preserve"> </w:t>
      </w:r>
      <w:r>
        <w:t xml:space="preserve">— Map services, ports, and endpoints from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Swagger, and route files.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Static analysis</w:t>
      </w:r>
      <w:r>
        <w:t xml:space="preserve"> </w:t>
      </w:r>
      <w:r>
        <w:t xml:space="preserve">— Review authentication guards, payment flow, proxy logic, and configuration defaults.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Dynamic testing</w:t>
      </w:r>
      <w:r>
        <w:t xml:space="preserve"> </w:t>
      </w:r>
      <w:r>
        <w:t xml:space="preserve">— Execute scripted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probes via</w:t>
      </w:r>
      <w:r>
        <w:t xml:space="preserve"> </w:t>
      </w:r>
      <w:r>
        <w:rPr>
          <w:rStyle w:val="VerbatimChar"/>
        </w:rPr>
        <w:t xml:space="preserve">analysis/scripts/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rating</w:t>
      </w:r>
      <w:r>
        <w:t xml:space="preserve"> </w:t>
      </w:r>
      <w:r>
        <w:t xml:space="preserve">— Map findings to OWASP Top 10 (2021) and CWE identifiers.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Mitigation design</w:t>
      </w:r>
      <w:r>
        <w:t xml:space="preserve"> </w:t>
      </w:r>
      <w:r>
        <w:t xml:space="preserve">— Document planned fixes (implementation deferred).</w:t>
      </w:r>
    </w:p>
    <w:bookmarkEnd w:id="9"/>
    <w:bookmarkStart w:id="10" w:name="authorized-scope"/>
    <w:p>
      <w:pPr>
        <w:pStyle w:val="Heading2"/>
      </w:pPr>
      <w:r>
        <w:t xml:space="preserve">3.2 Authorized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URL (Docker)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http://localhost:5001</w:t>
            </w:r>
          </w:p>
        </w:tc>
        <w:tc>
          <w:tcPr/>
          <w:p>
            <w:pPr>
              <w:pStyle w:val="Compact"/>
            </w:pPr>
            <w:r>
              <w:t xml:space="preserve">Student-owned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NestJS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http://localhost:5002</w:t>
            </w:r>
          </w:p>
        </w:tc>
        <w:tc>
          <w:tcPr/>
          <w:p>
            <w:pPr>
              <w:pStyle w:val="Compact"/>
            </w:pPr>
            <w:r>
              <w:t xml:space="preserve">Student-owned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http://localhost:5002/api</w:t>
            </w:r>
          </w:p>
        </w:tc>
        <w:tc>
          <w:tcPr/>
          <w:p>
            <w:pPr>
              <w:pStyle w:val="Compact"/>
            </w:pPr>
            <w:r>
              <w:t xml:space="preserve">Student-owned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http://localhost:5003</w:t>
            </w:r>
          </w:p>
        </w:tc>
        <w:tc>
          <w:tcPr/>
          <w:p>
            <w:pPr>
              <w:pStyle w:val="Compact"/>
            </w:pPr>
            <w:r>
              <w:t xml:space="preserve">Student-owned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Colly sidecar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http://localhost:5004</w:t>
            </w:r>
          </w:p>
        </w:tc>
        <w:tc>
          <w:tcPr/>
          <w:p>
            <w:pPr>
              <w:pStyle w:val="Compact"/>
            </w:pPr>
            <w:r>
              <w:t xml:space="preserve">Student-owned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localhost:5005–5007</w:t>
            </w:r>
          </w:p>
        </w:tc>
        <w:tc>
          <w:tcPr/>
          <w:p>
            <w:pPr>
              <w:pStyle w:val="Compact"/>
            </w:pPr>
            <w:r>
              <w:t xml:space="preserve">Student-owned</w:t>
            </w:r>
          </w:p>
        </w:tc>
      </w:tr>
    </w:tbl>
    <w:p>
      <w:pPr>
        <w:pStyle w:val="BodyText"/>
      </w:pPr>
      <w:r>
        <w:t xml:space="preserve">No testing was performed against production domains or third-party infrastructure beyond normal API usage through our gateway.</w:t>
      </w:r>
    </w:p>
    <w:bookmarkEnd w:id="10"/>
    <w:bookmarkStart w:id="11" w:name="tools-used"/>
    <w:p>
      <w:pPr>
        <w:pStyle w:val="Heading2"/>
      </w:pPr>
      <w:r>
        <w:t xml:space="preserve">3.3 Tools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code review</w:t>
            </w:r>
          </w:p>
        </w:tc>
        <w:tc>
          <w:tcPr/>
          <w:p>
            <w:pPr>
              <w:pStyle w:val="Compact"/>
            </w:pPr>
            <w:r>
              <w:t xml:space="preserve">IDE search, manual review of controllers, guards, compose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HTTP request replay, header/body inspection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Bash scripts</w:t>
            </w:r>
          </w:p>
        </w:tc>
        <w:tc>
          <w:tcPr/>
          <w:p>
            <w:pPr>
              <w:pStyle w:val="Compact"/>
            </w:pPr>
            <w:r>
              <w:t xml:space="preserve">Reproducible tests in</w:t>
            </w:r>
            <w:r>
              <w:t xml:space="preserve"> </w:t>
            </w:r>
            <w:r>
              <w:rPr>
                <w:rStyle w:val="VerbatimChar"/>
              </w:rPr>
              <w:t xml:space="preserve">analysis/scripts/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Swagger UI</w:t>
            </w:r>
          </w:p>
        </w:tc>
        <w:tc>
          <w:tcPr/>
          <w:p>
            <w:pPr>
              <w:pStyle w:val="Compact"/>
            </w:pPr>
            <w:r>
              <w:t xml:space="preserve">API surface documentation at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3</w:t>
            </w:r>
          </w:p>
        </w:tc>
        <w:tc>
          <w:tcPr/>
          <w:p>
            <w:pPr>
              <w:pStyle w:val="Compact"/>
            </w:pPr>
            <w:r>
              <w:t xml:space="preserve">JWT payload decode in payment test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ZAP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Baseline scan of frontend + API when stack is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nmap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Port scan of Docker-published 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jwt.io / jq</w:t>
            </w:r>
          </w:p>
        </w:tc>
        <w:tc>
          <w:tcPr/>
          <w:p>
            <w:pPr>
              <w:pStyle w:val="Compact"/>
            </w:pPr>
            <w:r>
              <w:t xml:space="preserve">JWT structure inspection (redacted in reports)</w:t>
            </w:r>
          </w:p>
        </w:tc>
      </w:tr>
    </w:tbl>
    <w:bookmarkEnd w:id="11"/>
    <w:bookmarkStart w:id="12" w:name="test-scripts"/>
    <w:p>
      <w:pPr>
        <w:pStyle w:val="Heading2"/>
      </w:pPr>
      <w:r>
        <w:t xml:space="preserve">3.4 Test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Vulnerability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01-recon-ports.sh</w:t>
            </w:r>
          </w:p>
        </w:tc>
        <w:tc>
          <w:tcPr/>
          <w:p>
            <w:pPr>
              <w:pStyle w:val="Compact"/>
            </w:pPr>
            <w:r>
              <w:t xml:space="preserve">Service availability on ports 5001–5007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02-test-open-proxy.sh</w:t>
            </w:r>
          </w:p>
        </w:tc>
        <w:tc>
          <w:tcPr/>
          <w:p>
            <w:pPr>
              <w:pStyle w:val="Compact"/>
            </w:pPr>
            <w:r>
              <w:t xml:space="preserve">VULN-01 SSRF / open 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03-test-payment-escalation.sh</w:t>
            </w:r>
          </w:p>
        </w:tc>
        <w:tc>
          <w:tcPr/>
          <w:p>
            <w:pPr>
              <w:pStyle w:val="Compact"/>
            </w:pPr>
            <w:r>
              <w:t xml:space="preserve">VULN-02, VULN-03 payment abuse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04-test-gateway-direct.sh</w:t>
            </w:r>
          </w:p>
        </w:tc>
        <w:tc>
          <w:tcPr/>
          <w:p>
            <w:pPr>
              <w:pStyle w:val="Compact"/>
            </w:pPr>
            <w:r>
              <w:t xml:space="preserve">VULN-04, VULN-05 internal API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05-test-auth-boundaries.sh</w:t>
            </w:r>
          </w:p>
        </w:tc>
        <w:tc>
          <w:tcPr/>
          <w:p>
            <w:pPr>
              <w:pStyle w:val="Compact"/>
            </w:pPr>
            <w:r>
              <w:t xml:space="preserve">Auth on public vs protected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run-all.sh</w:t>
            </w:r>
          </w:p>
        </w:tc>
        <w:tc>
          <w:tcPr/>
          <w:p>
            <w:pPr>
              <w:pStyle w:val="Compact"/>
            </w:pPr>
            <w:r>
              <w:t xml:space="preserve">Execute all scripts sequentially</w:t>
            </w:r>
          </w:p>
        </w:tc>
      </w:tr>
    </w:tbl>
    <w:p>
      <w:pPr>
        <w:pStyle w:val="BodyText"/>
      </w:pPr>
      <w:r>
        <w:t xml:space="preserve">Run from repository root: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analysis/scripts/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br/>
      </w:r>
      <w:r>
        <w:rPr>
          <w:rStyle w:val="ExtensionTok"/>
        </w:rPr>
        <w:t xml:space="preserve">./analysis/scripts/run-all.sh</w:t>
      </w:r>
    </w:p>
    <w:bookmarkEnd w:id="12"/>
    <w:bookmarkStart w:id="13" w:name="owasp-aligned-test-categories"/>
    <w:p>
      <w:pPr>
        <w:pStyle w:val="Heading2"/>
      </w:pPr>
      <w:r>
        <w:t xml:space="preserve">3.5 OWASP-aligned test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Tests performed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 Broken Access Control</w:t>
            </w:r>
          </w:p>
        </w:tc>
        <w:tc>
          <w:tcPr/>
          <w:p>
            <w:pPr>
              <w:pStyle w:val="Compact"/>
            </w:pPr>
            <w:r>
              <w:t xml:space="preserve">Payment fulfill, gateway tier param, unauthenticated scrape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 Cryptographic Failures</w:t>
            </w:r>
          </w:p>
        </w:tc>
        <w:tc>
          <w:tcPr/>
          <w:p>
            <w:pPr>
              <w:pStyle w:val="Compact"/>
            </w:pPr>
            <w:r>
              <w:t xml:space="preserve">JWT secret defaults, localStorage token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 Injection</w:t>
            </w:r>
          </w:p>
        </w:tc>
        <w:tc>
          <w:tcPr/>
          <w:p>
            <w:pPr>
              <w:pStyle w:val="Compact"/>
            </w:pPr>
            <w:r>
              <w:t xml:space="preserve">TypeORM usage review; no classic SQLi in app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 Insecure Design</w:t>
            </w:r>
          </w:p>
        </w:tc>
        <w:tc>
          <w:tcPr/>
          <w:p>
            <w:pPr>
              <w:pStyle w:val="Compact"/>
            </w:pPr>
            <w:r>
              <w:t xml:space="preserve">Internal APIs without consumer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 Security Misconfiguration</w:t>
            </w:r>
          </w:p>
        </w:tc>
        <w:tc>
          <w:tcPr/>
          <w:p>
            <w:pPr>
              <w:pStyle w:val="Compact"/>
            </w:pPr>
            <w:r>
              <w:t xml:space="preserve">Docker ports, default passwords,</w:t>
            </w:r>
            <w:r>
              <w:t xml:space="preserve"> </w:t>
            </w:r>
            <w:r>
              <w:rPr>
                <w:rStyle w:val="VerbatimChar"/>
              </w:rPr>
              <w:t xml:space="preserve">synchronize: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 Identification and Authentication Failures</w:t>
            </w:r>
          </w:p>
        </w:tc>
        <w:tc>
          <w:tcPr/>
          <w:p>
            <w:pPr>
              <w:pStyle w:val="Compact"/>
            </w:pPr>
            <w:r>
              <w:t xml:space="preserve">Missing auth on proxy, create-intent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 SSRF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/proxy/image</w:t>
            </w:r>
            <w:r>
              <w:t xml:space="preserve">, scrapling/colly URL parameters</w:t>
            </w:r>
          </w:p>
        </w:tc>
      </w:tr>
    </w:tbl>
    <w:bookmarkEnd w:id="13"/>
    <w:bookmarkStart w:id="16" w:name="evidence-collection"/>
    <w:p>
      <w:pPr>
        <w:pStyle w:val="Heading2"/>
      </w:pPr>
      <w:r>
        <w:t xml:space="preserve">3.6 Evidence collection</w:t>
      </w:r>
    </w:p>
    <w:p>
      <w:pPr>
        <w:pStyle w:val="FirstParagraph"/>
      </w:pPr>
      <w:r>
        <w:t xml:space="preserve">Outputs saved under</w:t>
      </w:r>
      <w:r>
        <w:t xml:space="preserve"> </w:t>
      </w:r>
      <w:r>
        <w:rPr>
          <w:rStyle w:val="VerbatimChar"/>
        </w:rPr>
        <w:t xml:space="preserve">analysis/evidence/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VULN-*.txt</w:t>
      </w:r>
      <w:r>
        <w:t xml:space="preserve"> </w:t>
      </w:r>
      <w:r>
        <w:t xml:space="preserve">— script stdout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STATIC-CODE-REVIEW-EVIDENCE.md</w:t>
      </w:r>
      <w:r>
        <w:t xml:space="preserve"> </w:t>
      </w:r>
      <w:r>
        <w:t xml:space="preserve">— code excerpts when services offline</w:t>
      </w:r>
    </w:p>
    <w:p>
      <w:pPr>
        <w:pStyle w:val="Compact"/>
        <w:numPr>
          <w:ilvl w:val="0"/>
          <w:numId w:val="1002"/>
        </w:numPr>
      </w:pPr>
      <w:r>
        <w:t xml:space="preserve">Screenshots (manual): Swagger, Network tab for payment bypass — see</w:t>
      </w:r>
      <w:r>
        <w:t xml:space="preserve"> </w:t>
      </w:r>
      <w:hyperlink r:id="rId14">
        <w:r>
          <w:rPr>
            <w:rStyle w:val="Hyperlink"/>
          </w:rPr>
          <w:t xml:space="preserve">evidence/README.md</w:t>
        </w:r>
      </w:hyperlink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Latest live run (2026-05-31) used local ports. Gateway/Colly tests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VULN-04/05/11. NestJS tests skipped — PostgreSQL not running on</w:t>
      </w:r>
      <w:r>
        <w:t xml:space="preserve"> </w:t>
      </w:r>
      <w:r>
        <w:rPr>
          <w:rStyle w:val="VerbatimChar"/>
        </w:rPr>
        <w:t xml:space="preserve">:5432</w:t>
      </w:r>
      <w:r>
        <w:t xml:space="preserve">. See</w:t>
      </w:r>
      <w:r>
        <w:t xml:space="preserve"> </w:t>
      </w:r>
      <w:hyperlink r:id="rId15">
        <w:r>
          <w:rPr>
            <w:rStyle w:val="Hyperlink"/>
          </w:rPr>
          <w:t xml:space="preserve">results/</w:t>
        </w:r>
      </w:hyperlink>
      <w:r>
        <w:t xml:space="preserve">.</w:t>
      </w:r>
    </w:p>
    <w:bookmarkEnd w:id="16"/>
    <w:bookmarkStart w:id="17" w:name="limitations"/>
    <w:p>
      <w:pPr>
        <w:pStyle w:val="Heading2"/>
      </w:pPr>
      <w:r>
        <w:t xml:space="preserve">3.7 Limitations</w:t>
      </w:r>
    </w:p>
    <w:p>
      <w:pPr>
        <w:pStyle w:val="Compact"/>
        <w:numPr>
          <w:ilvl w:val="0"/>
          <w:numId w:val="1003"/>
        </w:numPr>
      </w:pPr>
      <w:r>
        <w:t xml:space="preserve">No load/fuzz testing performed</w:t>
      </w:r>
    </w:p>
    <w:p>
      <w:pPr>
        <w:pStyle w:val="Compact"/>
        <w:numPr>
          <w:ilvl w:val="0"/>
          <w:numId w:val="1003"/>
        </w:numPr>
      </w:pPr>
      <w:r>
        <w:t xml:space="preserve">XSS not exploited dynamically; reviewed via code patterns (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absent)</w:t>
      </w:r>
    </w:p>
    <w:p>
      <w:pPr>
        <w:pStyle w:val="Compact"/>
        <w:numPr>
          <w:ilvl w:val="0"/>
          <w:numId w:val="1003"/>
        </w:numPr>
      </w:pPr>
      <w:r>
        <w:t xml:space="preserve">OWASP ZAP baseline not included in committed artifacts (recommended for viva)</w:t>
      </w:r>
    </w:p>
    <w:p>
      <w:pPr>
        <w:pStyle w:val="Compact"/>
        <w:numPr>
          <w:ilvl w:val="0"/>
          <w:numId w:val="1003"/>
        </w:numPr>
      </w:pPr>
      <w:r>
        <w:t xml:space="preserve">Twitter routes disabled in gateway; not assessed</w:t>
      </w:r>
    </w:p>
    <w:bookmarkEnd w:id="17"/>
    <w:bookmarkStart w:id="19" w:name="next-steps-after-stack-is-available"/>
    <w:p>
      <w:pPr>
        <w:pStyle w:val="Heading2"/>
      </w:pPr>
      <w:r>
        <w:t xml:space="preserve">3.8 Next steps after stack is available</w:t>
      </w:r>
    </w:p>
    <w:p>
      <w:pPr>
        <w:pStyle w:val="Compact"/>
        <w:numPr>
          <w:ilvl w:val="0"/>
          <w:numId w:val="1004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./analysis/scripts/run-all.sh</w:t>
      </w:r>
      <w:r>
        <w:t xml:space="preserve"> </w:t>
      </w:r>
      <w:r>
        <w:t xml:space="preserve">and replace evidence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 with live HTTP responses.</w:t>
      </w:r>
    </w:p>
    <w:p>
      <w:pPr>
        <w:pStyle w:val="Compact"/>
        <w:numPr>
          <w:ilvl w:val="0"/>
          <w:numId w:val="1004"/>
        </w:numPr>
      </w:pPr>
      <w:r>
        <w:t xml:space="preserve">Capture screenshots for</w:t>
      </w:r>
      <w:r>
        <w:t xml:space="preserve"> </w:t>
      </w:r>
      <w:hyperlink r:id="rId18">
        <w:r>
          <w:rPr>
            <w:rStyle w:val="Hyperlink"/>
          </w:rPr>
          <w:t xml:space="preserve">11-demonstration-guide.md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Optional: run</w:t>
      </w:r>
      <w:r>
        <w:t xml:space="preserve"> </w:t>
      </w:r>
      <w:r>
        <w:rPr>
          <w:rStyle w:val="VerbatimChar"/>
        </w:rPr>
        <w:t xml:space="preserve">zap-baseline.py -t http://localhost:5001</w:t>
      </w:r>
      <w:r>
        <w:t xml:space="preserve"> </w:t>
      </w:r>
      <w:r>
        <w:t xml:space="preserve">and archive HTML report in</w:t>
      </w:r>
      <w:r>
        <w:t xml:space="preserve"> </w:t>
      </w:r>
      <w:r>
        <w:rPr>
          <w:rStyle w:val="VerbatimChar"/>
        </w:rPr>
        <w:t xml:space="preserve">evidence/zap-report/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results/" TargetMode="External" /><Relationship Type="http://schemas.openxmlformats.org/officeDocument/2006/relationships/hyperlink" Id="rId18" Target="11-demonstration-guide.md" TargetMode="External" /><Relationship Type="http://schemas.openxmlformats.org/officeDocument/2006/relationships/hyperlink" Id="rId14" Target="evidence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results/" TargetMode="External" /><Relationship Type="http://schemas.openxmlformats.org/officeDocument/2006/relationships/hyperlink" Id="rId18" Target="11-demonstration-guide.md" TargetMode="External" /><Relationship Type="http://schemas.openxmlformats.org/officeDocument/2006/relationships/hyperlink" Id="rId14" Target="evidence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2026-05-31T13:06:46Z</dcterms:created>
  <dcterms:modified xsi:type="dcterms:W3CDTF">2026-05-31T13:06:46Z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