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nclusion-and-recommendations"/>
    <w:p>
      <w:pPr>
        <w:pStyle w:val="Heading1"/>
      </w:pPr>
      <w:r>
        <w:t xml:space="preserve">09 — Conclusion and Recommendations</w:t>
      </w:r>
    </w:p>
    <w:bookmarkStart w:id="10" w:name="conclusion"/>
    <w:p>
      <w:pPr>
        <w:pStyle w:val="Heading2"/>
      </w:pPr>
      <w:r>
        <w:t xml:space="preserve">9.1 Conclusion</w:t>
      </w:r>
    </w:p>
    <w:p>
      <w:pPr>
        <w:pStyle w:val="FirstParagraph"/>
      </w:pPr>
      <w:r>
        <w:t xml:space="preserve">The PakSentiment FYP platform demonstrates solid</w:t>
      </w:r>
      <w:r>
        <w:t xml:space="preserve"> </w:t>
      </w:r>
      <w:r>
        <w:rPr>
          <w:b/>
          <w:bCs/>
        </w:rPr>
        <w:t xml:space="preserve">application-layer</w:t>
      </w:r>
      <w:r>
        <w:t xml:space="preserve"> </w:t>
      </w:r>
      <w:r>
        <w:t xml:space="preserve">practices in several areas: bcrypt password hashing, global DTO validation, CORS configuration, Google OAuth token verification, and JWT protection on primary user-facing analytics routes.</w:t>
      </w:r>
    </w:p>
    <w:p>
      <w:pPr>
        <w:pStyle w:val="BodyText"/>
      </w:pPr>
      <w:r>
        <w:t xml:space="preserve">However, the security assessment identified</w:t>
      </w:r>
      <w:r>
        <w:t xml:space="preserve"> </w:t>
      </w:r>
      <w:r>
        <w:rPr>
          <w:b/>
          <w:bCs/>
        </w:rPr>
        <w:t xml:space="preserve">twelve vulnerabilities</w:t>
      </w:r>
      <w:r>
        <w:t xml:space="preserve"> </w:t>
      </w:r>
      <w:r>
        <w:t xml:space="preserve">(one critical, four high, five medium, one informational) centered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Broken access control</w:t>
      </w:r>
      <w:r>
        <w:t xml:space="preserve"> </w:t>
      </w:r>
      <w:r>
        <w:t xml:space="preserve">— especially subscription upgrade without payment verification (VULN-02)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Unauthenticated internal microservices</w:t>
      </w:r>
      <w:r>
        <w:t xml:space="preserve"> </w:t>
      </w:r>
      <w:r>
        <w:t xml:space="preserve">exposed on Docker host ports (VULN-04, VULN-05)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SSRF / open proxy</w:t>
      </w:r>
      <w:r>
        <w:t xml:space="preserve"> </w:t>
      </w:r>
      <w:r>
        <w:t xml:space="preserve">surfaces (VULN-01, VULN-11)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misconfiguration</w:t>
      </w:r>
      <w:r>
        <w:t xml:space="preserve"> </w:t>
      </w:r>
      <w:r>
        <w:t xml:space="preserve">— databases and weak secrets (VULN-06)</w:t>
      </w:r>
    </w:p>
    <w:p>
      <w:pPr>
        <w:pStyle w:val="FirstParagraph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suitable for academic demonstration</w:t>
      </w:r>
      <w:r>
        <w:t xml:space="preserve"> </w:t>
      </w:r>
      <w:r>
        <w:t xml:space="preserve">in its current form but</w:t>
      </w:r>
      <w:r>
        <w:t xml:space="preserve"> </w:t>
      </w:r>
      <w:r>
        <w:rPr>
          <w:b/>
          <w:bCs/>
        </w:rPr>
        <w:t xml:space="preserve">not production-ready</w:t>
      </w:r>
      <w:r>
        <w:t xml:space="preserve"> </w:t>
      </w:r>
      <w:r>
        <w:t xml:space="preserve">without the mitigations documented in</w:t>
      </w:r>
      <w:r>
        <w:t xml:space="preserve"> </w:t>
      </w:r>
      <w:hyperlink r:id="rId9">
        <w:r>
          <w:rPr>
            <w:rStyle w:val="Hyperlink"/>
          </w:rPr>
          <w:t xml:space="preserve">06-patch-implementation-process.md</w:t>
        </w:r>
      </w:hyperlink>
      <w:r>
        <w:t xml:space="preserve">.</w:t>
      </w:r>
    </w:p>
    <w:p>
      <w:pPr>
        <w:pStyle w:val="BodyText"/>
      </w:pPr>
      <w:r>
        <w:t xml:space="preserve">This assessment phase delivered reproducible scripts, structured documentation, and a clear patch roadmap. Implementing priority fixes (VULN-02, VULN-01, VULN-04–06) will materially improve the security posture and satisfy the</w:t>
      </w:r>
      <w:r>
        <w:t xml:space="preserve"> </w:t>
      </w:r>
      <w:r>
        <w:t xml:space="preserve">“before-and-after”</w:t>
      </w:r>
      <w:r>
        <w:t xml:space="preserve"> </w:t>
      </w:r>
      <w:r>
        <w:t xml:space="preserve">demonstration requirement.</w:t>
      </w:r>
    </w:p>
    <w:bookmarkEnd w:id="10"/>
    <w:bookmarkStart w:id="14" w:name="recommendations"/>
    <w:p>
      <w:pPr>
        <w:pStyle w:val="Heading2"/>
      </w:pPr>
      <w:r>
        <w:t xml:space="preserve">9.2 Recommendations</w:t>
      </w:r>
    </w:p>
    <w:bookmarkStart w:id="11" w:name="immediate-before-public-deployment"/>
    <w:p>
      <w:pPr>
        <w:pStyle w:val="Heading3"/>
      </w:pPr>
      <w:r>
        <w:t xml:space="preserve">Immediate (before public deployment)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Disable or protect</w:t>
      </w:r>
      <w:r>
        <w:t xml:space="preserve"> </w:t>
      </w:r>
      <w:r>
        <w:rPr>
          <w:rStyle w:val="VerbatimChar"/>
        </w:rPr>
        <w:t xml:space="preserve">POST /payments/fulfill-subscription</w:t>
      </w:r>
      <w:r>
        <w:t xml:space="preserve"> </w:t>
      </w:r>
      <w:r>
        <w:t xml:space="preserve">until Stripe webhooks verify 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publish</w:t>
      </w:r>
      <w:r>
        <w:t xml:space="preserve"> </w:t>
      </w:r>
      <w:r>
        <w:t xml:space="preserve">MongoDB, Redis, or PostgreSQL ports on host interfaces.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Rotate</w:t>
      </w:r>
      <w:r>
        <w:t xml:space="preserve"> </w:t>
      </w:r>
      <w:r>
        <w:t xml:space="preserve">all secrets (</w:t>
      </w:r>
      <w:r>
        <w:rPr>
          <w:rStyle w:val="VerbatimChar"/>
        </w:rPr>
        <w:t xml:space="preserve">JWT_SECRET</w:t>
      </w:r>
      <w:r>
        <w:t xml:space="preserve">, DB passwords, API keys) from example values.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to FastAPI gateway and Colly sidecar for any host-accessible deployment.</w:t>
      </w:r>
    </w:p>
    <w:bookmarkEnd w:id="11"/>
    <w:bookmarkStart w:id="12" w:name="short-term-next-development-sprint"/>
    <w:p>
      <w:pPr>
        <w:pStyle w:val="Heading3"/>
      </w:pPr>
      <w:r>
        <w:t xml:space="preserve">Short-term (next development sprint)</w:t>
      </w:r>
    </w:p>
    <w:p>
      <w:pPr>
        <w:pStyle w:val="Compact"/>
        <w:numPr>
          <w:ilvl w:val="0"/>
          <w:numId w:val="1003"/>
        </w:numPr>
      </w:pPr>
      <w:r>
        <w:t xml:space="preserve">Harden</w:t>
      </w:r>
      <w:r>
        <w:t xml:space="preserve"> </w:t>
      </w:r>
      <w:r>
        <w:rPr>
          <w:rStyle w:val="VerbatimChar"/>
        </w:rPr>
        <w:t xml:space="preserve">/proxy/image</w:t>
      </w:r>
      <w:r>
        <w:t xml:space="preserve"> </w:t>
      </w:r>
      <w:r>
        <w:t xml:space="preserve">with auth + allowlist + private IP blocking.</w:t>
      </w:r>
    </w:p>
    <w:p>
      <w:pPr>
        <w:pStyle w:val="Compact"/>
        <w:numPr>
          <w:ilvl w:val="0"/>
          <w:numId w:val="1003"/>
        </w:numPr>
      </w:pPr>
      <w:r>
        <w:t xml:space="preserve">Enforce strong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at application startup.</w:t>
      </w:r>
    </w:p>
    <w:p>
      <w:pPr>
        <w:pStyle w:val="Compact"/>
        <w:numPr>
          <w:ilvl w:val="0"/>
          <w:numId w:val="100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synchronize: false</w:t>
      </w:r>
      <w:r>
        <w:t xml:space="preserve"> </w:t>
      </w:r>
      <w:r>
        <w:t xml:space="preserve">and introduce database migrations.</w:t>
      </w:r>
    </w:p>
    <w:p>
      <w:pPr>
        <w:pStyle w:val="Compact"/>
        <w:numPr>
          <w:ilvl w:val="0"/>
          <w:numId w:val="1003"/>
        </w:numPr>
      </w:pPr>
      <w:r>
        <w:t xml:space="preserve">Add rate limiting on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and Helmet security headers.</w:t>
      </w:r>
    </w:p>
    <w:bookmarkEnd w:id="12"/>
    <w:bookmarkStart w:id="13" w:name="long-term-secure-sdlc"/>
    <w:p>
      <w:pPr>
        <w:pStyle w:val="Heading3"/>
      </w:pPr>
      <w:r>
        <w:t xml:space="preserve">Long-term (secure SDLC)</w:t>
      </w:r>
    </w:p>
    <w:p>
      <w:pPr>
        <w:pStyle w:val="Compact"/>
        <w:numPr>
          <w:ilvl w:val="0"/>
          <w:numId w:val="1004"/>
        </w:numPr>
      </w:pPr>
      <w:r>
        <w:t xml:space="preserve">Integrate</w:t>
      </w:r>
      <w:r>
        <w:t xml:space="preserve"> </w:t>
      </w:r>
      <w:r>
        <w:rPr>
          <w:b/>
          <w:bCs/>
        </w:rPr>
        <w:t xml:space="preserve">SAST/DAST</w:t>
      </w:r>
      <w:r>
        <w:t xml:space="preserve"> </w:t>
      </w:r>
      <w:r>
        <w:t xml:space="preserve">into CI (eslint security plugins,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ZAP baseline).</w:t>
      </w:r>
    </w:p>
    <w:p>
      <w:pPr>
        <w:pStyle w:val="Compact"/>
        <w:numPr>
          <w:ilvl w:val="0"/>
          <w:numId w:val="1004"/>
        </w:numPr>
      </w:pPr>
      <w:r>
        <w:t xml:space="preserve">Adopt</w:t>
      </w:r>
      <w:r>
        <w:t xml:space="preserve"> </w:t>
      </w:r>
      <w:r>
        <w:rPr>
          <w:b/>
          <w:bCs/>
        </w:rPr>
        <w:t xml:space="preserve">httpOnly cookie</w:t>
      </w:r>
      <w:r>
        <w:t xml:space="preserve"> </w:t>
      </w:r>
      <w:r>
        <w:t xml:space="preserve">session model or strict CSP to reduce XSS impact on JWT.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ApiKeyEntity</w:t>
      </w:r>
      <w:r>
        <w:t xml:space="preserve"> </w:t>
      </w:r>
      <w:r>
        <w:t xml:space="preserve">endpoints for programmatic access with scoped permissions.</w:t>
      </w:r>
    </w:p>
    <w:p>
      <w:pPr>
        <w:pStyle w:val="Compact"/>
        <w:numPr>
          <w:ilvl w:val="0"/>
          <w:numId w:val="1004"/>
        </w:numPr>
      </w:pPr>
      <w:r>
        <w:t xml:space="preserve">Align README with actual architecture (REST + custom JWT guard).</w:t>
      </w:r>
    </w:p>
    <w:bookmarkEnd w:id="13"/>
    <w:bookmarkEnd w:id="14"/>
    <w:bookmarkStart w:id="20" w:name="compliance-with-assignment-objectives"/>
    <w:p>
      <w:pPr>
        <w:pStyle w:val="Heading2"/>
      </w:pPr>
      <w:r>
        <w:t xml:space="preserve">9.3 Compliance with assignment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assessment</w:t>
            </w:r>
          </w:p>
        </w:tc>
        <w:tc>
          <w:tcPr/>
          <w:p>
            <w:pPr>
              <w:pStyle w:val="Compact"/>
            </w:pPr>
            <w:r>
              <w:t xml:space="preserve">Complete — see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Penetration testing (ethical)</w:t>
            </w:r>
          </w:p>
        </w:tc>
        <w:tc>
          <w:tcPr/>
          <w:p>
            <w:pPr>
              <w:pStyle w:val="Compact"/>
            </w:pPr>
            <w:r>
              <w:t xml:space="preserve">Scripts + methodology in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</w:pPr>
            <w:r>
              <w:t xml:space="preserve">Complete —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evidence/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Patch process</w:t>
            </w:r>
          </w:p>
        </w:tc>
        <w:tc>
          <w:tcPr/>
          <w:p>
            <w:pPr>
              <w:pStyle w:val="Compact"/>
            </w:pPr>
            <w:r>
              <w:t xml:space="preserve">Planned —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Before/after comparison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Implementation of fixes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to follow-up phase per project plan</w:t>
            </w:r>
          </w:p>
        </w:tc>
      </w:tr>
    </w:tbl>
    <w:bookmarkEnd w:id="20"/>
    <w:bookmarkStart w:id="21" w:name="final-statement"/>
    <w:p>
      <w:pPr>
        <w:pStyle w:val="Heading2"/>
      </w:pPr>
      <w:r>
        <w:t xml:space="preserve">9.4 Final statement</w:t>
      </w:r>
    </w:p>
    <w:p>
      <w:pPr>
        <w:pStyle w:val="FirstParagraph"/>
      </w:pPr>
      <w:r>
        <w:t xml:space="preserve">Security is not a one-time audit but an ongoing process. The findings in this report provide a actionable foundation for hardening PakSentiment while preserving its core sentiment-analysis functionality for the FYP demonstration and evaluation.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03-testing-methodology-and-tools.md" TargetMode="External" /><Relationship Type="http://schemas.openxmlformats.org/officeDocument/2006/relationships/hyperlink" Id="rId15" Target="04-vulnerability-assessment-results.md" TargetMode="External" /><Relationship Type="http://schemas.openxmlformats.org/officeDocument/2006/relationships/hyperlink" Id="rId17" Target="05-risk-analysis-and-impact.md" TargetMode="External" /><Relationship Type="http://schemas.openxmlformats.org/officeDocument/2006/relationships/hyperlink" Id="rId9" Target="06-patch-implementation-process.md" TargetMode="External" /><Relationship Type="http://schemas.openxmlformats.org/officeDocument/2006/relationships/hyperlink" Id="rId19" Target="07-before-after-comparison.md" TargetMode="External" /><Relationship Type="http://schemas.openxmlformats.org/officeDocument/2006/relationships/hyperlink" Id="rId18" Target="evid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3-testing-methodology-and-tools.md" TargetMode="External" /><Relationship Type="http://schemas.openxmlformats.org/officeDocument/2006/relationships/hyperlink" Id="rId15" Target="04-vulnerability-assessment-results.md" TargetMode="External" /><Relationship Type="http://schemas.openxmlformats.org/officeDocument/2006/relationships/hyperlink" Id="rId17" Target="05-risk-analysis-and-impact.md" TargetMode="External" /><Relationship Type="http://schemas.openxmlformats.org/officeDocument/2006/relationships/hyperlink" Id="rId9" Target="06-patch-implementation-process.md" TargetMode="External" /><Relationship Type="http://schemas.openxmlformats.org/officeDocument/2006/relationships/hyperlink" Id="rId19" Target="07-before-after-comparison.md" TargetMode="External" /><Relationship Type="http://schemas.openxmlformats.org/officeDocument/2006/relationships/hyperlink" Id="rId18" Target="evid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2026-05-31T13:06:52Z</dcterms:created>
  <dcterms:modified xsi:type="dcterms:W3CDTF">2026-05-31T13:06:52Z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