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live-test-run-summary"/>
    <w:p>
      <w:pPr>
        <w:pStyle w:val="Heading1"/>
      </w:pPr>
      <w:r>
        <w:t xml:space="preserve">Live Test Run Summary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2026-05-31 (updated with NestJS live run)</w:t>
      </w:r>
      <w:r>
        <w:br/>
      </w:r>
      <w:r>
        <w:rPr>
          <w:b/>
          <w:bCs/>
        </w:rPr>
        <w:t xml:space="preserve">Environment:</w:t>
      </w:r>
      <w:r>
        <w:t xml:space="preserve"> </w:t>
      </w:r>
      <w:r>
        <w:t xml:space="preserve">Local development (non-Docker)</w:t>
      </w:r>
      <w:r>
        <w:br/>
      </w:r>
      <w:r>
        <w:rPr>
          <w:b/>
          <w:bCs/>
        </w:rPr>
        <w:t xml:space="preserve">Scripts:</w:t>
      </w:r>
      <w:r>
        <w:t xml:space="preserve"> </w:t>
      </w:r>
      <w:r>
        <w:rPr>
          <w:rStyle w:val="VerbatimChar"/>
        </w:rPr>
        <w:t xml:space="preserve">analysis/scripts/run-all.sh</w:t>
      </w:r>
    </w:p>
    <w:bookmarkStart w:id="9" w:name="service-availability"/>
    <w:p>
      <w:pPr>
        <w:pStyle w:val="Heading2"/>
      </w:pPr>
      <w:r>
        <w:t xml:space="preserve">Service availability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http://localhost:3000/api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Colly Sidecar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(HTTP 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localhost:5432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</w:t>
            </w:r>
            <w:r>
              <w:t xml:space="preserve"> </w:t>
            </w:r>
            <w:r>
              <w:t xml:space="preserve">(NestJS connected)</w:t>
            </w:r>
          </w:p>
        </w:tc>
      </w:tr>
    </w:tbl>
    <w:bookmarkEnd w:id="9"/>
    <w:bookmarkStart w:id="15" w:name="test-execution-summary"/>
    <w:p>
      <w:pPr>
        <w:pStyle w:val="Heading2"/>
      </w:pPr>
      <w:r>
        <w:t xml:space="preserve">Test execution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1920"/>
        <w:gridCol w:w="4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Vulnerabilities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01-recon-results.md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Recon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02-open-proxy-results.md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LIVE</w:t>
            </w:r>
          </w:p>
        </w:tc>
        <w:tc>
          <w:tcPr/>
          <w:p>
            <w:pPr>
              <w:pStyle w:val="Compact"/>
            </w:pPr>
            <w:r>
              <w:t xml:space="preserve">VULN-01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03-payment-escalation-results.md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LIVE</w:t>
            </w:r>
          </w:p>
        </w:tc>
        <w:tc>
          <w:tcPr/>
          <w:p>
            <w:pPr>
              <w:pStyle w:val="Compact"/>
            </w:pPr>
            <w:r>
              <w:t xml:space="preserve">VULN-02 (critical)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04-gateway-direct-results.md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LIVE</w:t>
            </w:r>
          </w:p>
        </w:tc>
        <w:tc>
          <w:tcPr/>
          <w:p>
            <w:pPr>
              <w:pStyle w:val="Compact"/>
            </w:pPr>
            <w:r>
              <w:t xml:space="preserve">VULN-04, VULN-05, VULN-11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05-auth-boundaries-results.md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CONFIRMED LIVE</w:t>
            </w:r>
          </w:p>
        </w:tc>
        <w:tc>
          <w:tcPr/>
          <w:p>
            <w:pPr>
              <w:pStyle w:val="Compact"/>
            </w:pPr>
            <w:r>
              <w:t xml:space="preserve">Auth matrix</w:t>
            </w:r>
          </w:p>
        </w:tc>
      </w:tr>
    </w:tbl>
    <w:bookmarkEnd w:id="15"/>
    <w:bookmarkStart w:id="16" w:name="critical-live-finding"/>
    <w:p>
      <w:pPr>
        <w:pStyle w:val="Heading2"/>
      </w:pPr>
      <w:r>
        <w:t xml:space="preserve">Critical live finding</w:t>
      </w:r>
    </w:p>
    <w:p>
      <w:pPr>
        <w:pStyle w:val="FirstParagraph"/>
      </w:pPr>
      <w:r>
        <w:rPr>
          <w:b/>
          <w:bCs/>
        </w:rPr>
        <w:t xml:space="preserve">VULN-02 confirmed:</w:t>
      </w:r>
      <w:r>
        <w:t xml:space="preserve"> </w:t>
      </w:r>
      <w:r>
        <w:t xml:space="preserve">Authenticated user upgraded to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POST /payments/fulfill-subscription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 Stripe payment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"newTier"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"premium"</w:t>
      </w:r>
      <w:r>
        <w:rPr>
          <w:rStyle w:val="FunctionTok"/>
        </w:rPr>
        <w:t xml:space="preserve">}</w:t>
      </w:r>
    </w:p>
    <w:bookmarkEnd w:id="16"/>
    <w:bookmarkStart w:id="17" w:name="other-live-findings"/>
    <w:p>
      <w:pPr>
        <w:pStyle w:val="Heading2"/>
      </w:pPr>
      <w:r>
        <w:t xml:space="preserve">Other live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VULN-01:</w:t>
      </w:r>
      <w:r>
        <w:t xml:space="preserve"> </w:t>
      </w:r>
      <w:r>
        <w:rPr>
          <w:rStyle w:val="VerbatimChar"/>
        </w:rPr>
        <w:t xml:space="preserve">/proxy/image</w:t>
      </w:r>
      <w:r>
        <w:t xml:space="preserve"> </w:t>
      </w:r>
      <w:r>
        <w:t xml:space="preserve">returns HTTP 200 without JWT; fetches arbitrary URLs server-side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VULN-04/05/11:</w:t>
      </w:r>
      <w:r>
        <w:t xml:space="preserve"> </w:t>
      </w:r>
      <w:r>
        <w:t xml:space="preserve">Gateway and Colly fully accessible without authentication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VULN-03:</w:t>
      </w:r>
      <w:r>
        <w:t xml:space="preserve"> </w:t>
      </w:r>
      <w:r>
        <w:rPr>
          <w:rStyle w:val="VerbatimChar"/>
        </w:rPr>
        <w:t xml:space="preserve">create-intent</w:t>
      </w:r>
      <w:r>
        <w:t xml:space="preserve"> </w:t>
      </w:r>
      <w:r>
        <w:t xml:space="preserve">is public but currently returns HTTP 400 due to DTO validation misconfiguration (no</w:t>
      </w:r>
      <w:r>
        <w:t xml:space="preserve"> </w:t>
      </w:r>
      <w:r>
        <w:rPr>
          <w:rStyle w:val="VerbatimChar"/>
        </w:rPr>
        <w:t xml:space="preserve">@IsNumber()</w:t>
      </w:r>
      <w:r>
        <w:t xml:space="preserve"> </w:t>
      </w:r>
      <w:r>
        <w:t xml:space="preserve">on DTO fields)</w:t>
      </w:r>
    </w:p>
    <w:bookmarkEnd w:id="17"/>
    <w:bookmarkStart w:id="23" w:name="raw-evidence"/>
    <w:p>
      <w:pPr>
        <w:pStyle w:val="Heading2"/>
      </w:pPr>
      <w:r>
        <w:t xml:space="preserve">Raw evidence</w:t>
      </w:r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../evidence/VULN-recon-ports-2026-05-31T12:52:34Z.txt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../evidence/VULN-01-open-proxy.txt</w:t>
        </w:r>
      </w:hyperlink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../evidence/VULN-02-payment-escalation.txt</w:t>
        </w:r>
      </w:hyperlink>
    </w:p>
    <w:p>
      <w:pPr>
        <w:pStyle w:val="Compact"/>
        <w:numPr>
          <w:ilvl w:val="0"/>
          <w:numId w:val="1002"/>
        </w:numPr>
      </w:pPr>
      <w:hyperlink r:id="rId21">
        <w:r>
          <w:rPr>
            <w:rStyle w:val="Hyperlink"/>
          </w:rPr>
          <w:t xml:space="preserve">../evidence/VULN-04-gateway-direct.txt</w:t>
        </w:r>
      </w:hyperlink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</w:rPr>
          <w:t xml:space="preserve">../evidence/VULN-auth-boundaries.txt</w:t>
        </w:r>
      </w:hyperlink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../evidence/VULN-01-open-proxy.txt" TargetMode="External" /><Relationship Type="http://schemas.openxmlformats.org/officeDocument/2006/relationships/hyperlink" Id="rId20" Target="../evidence/VULN-02-payment-escalation.txt" TargetMode="External" /><Relationship Type="http://schemas.openxmlformats.org/officeDocument/2006/relationships/hyperlink" Id="rId21" Target="../evidence/VULN-04-gateway-direct.txt" TargetMode="External" /><Relationship Type="http://schemas.openxmlformats.org/officeDocument/2006/relationships/hyperlink" Id="rId22" Target="../evidence/VULN-auth-boundaries.txt" TargetMode="External" /><Relationship Type="http://schemas.openxmlformats.org/officeDocument/2006/relationships/hyperlink" Id="rId18" Target="../evidence/VULN-recon-ports-2026-05-31T12:52:34Z.txt" TargetMode="External" /><Relationship Type="http://schemas.openxmlformats.org/officeDocument/2006/relationships/hyperlink" Id="rId10" Target="01-recon-results.md" TargetMode="External" /><Relationship Type="http://schemas.openxmlformats.org/officeDocument/2006/relationships/hyperlink" Id="rId11" Target="02-open-proxy-results.md" TargetMode="External" /><Relationship Type="http://schemas.openxmlformats.org/officeDocument/2006/relationships/hyperlink" Id="rId12" Target="03-payment-escalation-results.md" TargetMode="External" /><Relationship Type="http://schemas.openxmlformats.org/officeDocument/2006/relationships/hyperlink" Id="rId13" Target="04-gateway-direct-results.md" TargetMode="External" /><Relationship Type="http://schemas.openxmlformats.org/officeDocument/2006/relationships/hyperlink" Id="rId14" Target="05-auth-boundaries-result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../evidence/VULN-01-open-proxy.txt" TargetMode="External" /><Relationship Type="http://schemas.openxmlformats.org/officeDocument/2006/relationships/hyperlink" Id="rId20" Target="../evidence/VULN-02-payment-escalation.txt" TargetMode="External" /><Relationship Type="http://schemas.openxmlformats.org/officeDocument/2006/relationships/hyperlink" Id="rId21" Target="../evidence/VULN-04-gateway-direct.txt" TargetMode="External" /><Relationship Type="http://schemas.openxmlformats.org/officeDocument/2006/relationships/hyperlink" Id="rId22" Target="../evidence/VULN-auth-boundaries.txt" TargetMode="External" /><Relationship Type="http://schemas.openxmlformats.org/officeDocument/2006/relationships/hyperlink" Id="rId18" Target="../evidence/VULN-recon-ports-2026-05-31T12:52:34Z.txt" TargetMode="External" /><Relationship Type="http://schemas.openxmlformats.org/officeDocument/2006/relationships/hyperlink" Id="rId10" Target="01-recon-results.md" TargetMode="External" /><Relationship Type="http://schemas.openxmlformats.org/officeDocument/2006/relationships/hyperlink" Id="rId11" Target="02-open-proxy-results.md" TargetMode="External" /><Relationship Type="http://schemas.openxmlformats.org/officeDocument/2006/relationships/hyperlink" Id="rId12" Target="03-payment-escalation-results.md" TargetMode="External" /><Relationship Type="http://schemas.openxmlformats.org/officeDocument/2006/relationships/hyperlink" Id="rId13" Target="04-gateway-direct-results.md" TargetMode="External" /><Relationship Type="http://schemas.openxmlformats.org/officeDocument/2006/relationships/hyperlink" Id="rId14" Target="05-auth-boundaries-result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2026-05-31T13:06:53Z</dcterms:created>
  <dcterms:modified xsi:type="dcterms:W3CDTF">2026-05-31T13:06:53Z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