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соғлиқни сақлаш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S-46/22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2022-05-20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Авезова Гулсаро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шаҳар Лолазор МФЙ  Осиё 19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1998-11-17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931439444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2022-05-30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Ногирон фарзандини даволаш учун Тошкентдан шартнома олиб келган шунга маблағ ўтказиб ёрдам бериш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