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ФЭ-И-1168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Ўрмончилик ва бошқа хўжаликлар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Исмоилов Йўлдош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Катли Кумобод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Қўйчилик учун ер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