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i w:val="0"/>
          <w:color w:val="173F6D"/>
          <w:sz w:val="48"/>
        </w:rPr>
        <w:t>Predictive Manufacturing - AI Agent Implementation Playbook v2</w:t>
      </w:r>
    </w:p>
    <w:p>
      <w:pPr>
        <w:pStyle w:val="Subtitle"/>
        <w:jc w:val="center"/>
      </w:pPr>
      <w:r>
        <w:rPr>
          <w:rFonts w:ascii="Aptos" w:hAnsi="Aptos"/>
          <w:b w:val="0"/>
          <w:i/>
          <w:color w:val="5F6368"/>
          <w:sz w:val="26"/>
        </w:rPr>
        <w:t>Execution plan for a 3-person team building the workflow-first enriched solution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173F6D"/>
          <w:left w:val="single" w:sz="14" w:space="0" w:color="173F6D"/>
          <w:bottom w:val="single" w:sz="14" w:space="0" w:color="173F6D"/>
          <w:right w:val="single" w:sz="14" w:space="0" w:color="173F6D"/>
          <w:insideH w:val="single" w:sz="14" w:space="0" w:color="173F6D"/>
          <w:insideV w:val="single" w:sz="14" w:space="0" w:color="173F6D"/>
        </w:tblBorders>
      </w:tblPr>
      <w:tblGrid>
        <w:gridCol w:w="9994"/>
      </w:tblGrid>
      <w:tr>
        <w:tc>
          <w:tcPr>
            <w:tcW w:type="dxa" w:w="9994"/>
            <w:shd w:fill="EAF2FB"/>
            <w:tcMar>
              <w:top w:w="150" w:type="dxa"/>
              <w:start w:w="150" w:type="dxa"/>
              <w:bottom w:w="14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F6D"/>
                <w:sz w:val="24"/>
              </w:rPr>
              <w:t>Parallel work packages for repo-grounded logic plus synthetic cost, logistics, and disruption layers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4B5563"/>
                <w:sz w:val="19"/>
              </w:rPr>
              <w:t>Prepared for human teammates and coding agents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77B00"/>
          <w:left w:val="single" w:sz="12" w:space="0" w:color="D77B00"/>
          <w:bottom w:val="single" w:sz="12" w:space="0" w:color="D77B00"/>
          <w:right w:val="single" w:sz="12" w:space="0" w:color="D77B00"/>
          <w:insideH w:val="single" w:sz="12" w:space="0" w:color="D77B00"/>
          <w:insideV w:val="single" w:sz="12" w:space="0" w:color="D77B00"/>
        </w:tblBorders>
      </w:tblPr>
      <w:tblGrid>
        <w:gridCol w:w="9994"/>
      </w:tblGrid>
      <w:tr>
        <w:tc>
          <w:tcPr>
            <w:tcW w:type="dxa" w:w="9994"/>
            <w:shd w:fill="FFF3E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D77B00"/>
                <w:sz w:val="21"/>
              </w:rPr>
              <w:t>Playbook goal</w:t>
            </w:r>
          </w:p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Maximize parallel throughput. The repo-backed branches and the synthetic-enrichment branches should be developed as stable contracts that merge late, rather than as one giant notebook.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173F6D"/>
          <w:left w:val="single" w:sz="10" w:space="0" w:color="173F6D"/>
          <w:bottom w:val="single" w:sz="10" w:space="0" w:color="173F6D"/>
          <w:right w:val="single" w:sz="10" w:space="0" w:color="173F6D"/>
          <w:insideH w:val="single" w:sz="10" w:space="0" w:color="173F6D"/>
          <w:insideV w:val="single" w:sz="10" w:space="0" w:color="173F6D"/>
        </w:tblBorders>
      </w:tblPr>
      <w:tblGrid>
        <w:gridCol w:w="9994"/>
      </w:tblGrid>
      <w:tr>
        <w:tc>
          <w:tcPr>
            <w:tcW w:type="dxa" w:w="9994"/>
            <w:shd w:fill="173F6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1. Operating principles</w:t>
            </w:r>
          </w:p>
        </w:tc>
      </w:tr>
    </w:tbl>
    <w:p>
      <w:pPr>
        <w:spacing w:after="60"/>
      </w:pP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Keep the core repo-grounded engine intact: pipeline -&gt; translation -&gt; material/capacity feasibility -&gt; risk -&gt; actions.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Add synthetic layers as separate dimensions, not as ad-hoc columns sprinkled everywhere.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Use derived fact tables and dimension tables with stable contracts.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Optimize for explainability, determinism, and demo safety rather than numerical sophistication.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Every synthetic table must have an assumptions note and a simple generation rule.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173F6D"/>
          <w:left w:val="single" w:sz="10" w:space="0" w:color="173F6D"/>
          <w:bottom w:val="single" w:sz="10" w:space="0" w:color="173F6D"/>
          <w:right w:val="single" w:sz="10" w:space="0" w:color="173F6D"/>
          <w:insideH w:val="single" w:sz="10" w:space="0" w:color="173F6D"/>
          <w:insideV w:val="single" w:sz="10" w:space="0" w:color="173F6D"/>
        </w:tblBorders>
      </w:tblPr>
      <w:tblGrid>
        <w:gridCol w:w="9994"/>
      </w:tblGrid>
      <w:tr>
        <w:tc>
          <w:tcPr>
            <w:tcW w:type="dxa" w:w="9994"/>
            <w:shd w:fill="173F6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2. New workstreams introduced by synthetic data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EE6"/>
          <w:left w:val="single" w:sz="8" w:space="0" w:color="D6DEE6"/>
          <w:bottom w:val="single" w:sz="8" w:space="0" w:color="D6DEE6"/>
          <w:right w:val="single" w:sz="8" w:space="0" w:color="D6DEE6"/>
          <w:insideH w:val="single" w:sz="8" w:space="0" w:color="D6DEE6"/>
          <w:insideV w:val="single" w:sz="8" w:space="0" w:color="D6DEE6"/>
        </w:tblBorders>
      </w:tblPr>
      <w:tblGrid>
        <w:gridCol w:w="3331"/>
        <w:gridCol w:w="3331"/>
        <w:gridCol w:w="3331"/>
      </w:tblGrid>
      <w:tr>
        <w:tc>
          <w:tcPr>
            <w:tcW w:type="dxa" w:w="3240"/>
            <w:shd w:fill="173F6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Workstream</w:t>
            </w:r>
          </w:p>
        </w:tc>
        <w:tc>
          <w:tcPr>
            <w:tcW w:type="dxa" w:w="4680"/>
            <w:shd w:fill="173F6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Main output</w:t>
            </w:r>
          </w:p>
        </w:tc>
        <w:tc>
          <w:tcPr>
            <w:tcW w:type="dxa" w:w="1584"/>
            <w:shd w:fill="173F6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Can run in parallel?</w:t>
            </w:r>
          </w:p>
        </w:tc>
      </w:tr>
      <w:tr>
        <w:tc>
          <w:tcPr>
            <w:tcW w:type="dxa" w:w="3331"/>
            <w:shd w:fill="EAF2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Repo-grounded demand foundation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fact_pipeline_monthly + project priority layer</w:t>
            </w:r>
          </w:p>
        </w:tc>
        <w:tc>
          <w:tcPr>
            <w:tcW w:type="dxa" w:w="3331"/>
            <w:shd w:fill="EAF2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Yes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Repo-grounded capacity foundation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operational spine + WC capacity baseline + calendar bridge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Yes</w:t>
            </w:r>
          </w:p>
        </w:tc>
      </w:tr>
      <w:tr>
        <w:tc>
          <w:tcPr>
            <w:tcW w:type="dxa" w:w="3331"/>
            <w:shd w:fill="EAF2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Repo-grounded sourcing foundation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BOM + inventory + lead-time foundation</w:t>
            </w:r>
          </w:p>
        </w:tc>
        <w:tc>
          <w:tcPr>
            <w:tcW w:type="dxa" w:w="3331"/>
            <w:shd w:fill="EAF2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Yes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Synthetic network economics foundation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country cost index + plant economics + lane logistics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Yes</w:t>
            </w:r>
          </w:p>
        </w:tc>
      </w:tr>
      <w:tr>
        <w:tc>
          <w:tcPr>
            <w:tcW w:type="dxa" w:w="3331"/>
            <w:shd w:fill="EAF2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Synthetic disruption foundation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route disruption and scenario tables</w:t>
            </w:r>
          </w:p>
        </w:tc>
        <w:tc>
          <w:tcPr>
            <w:tcW w:type="dxa" w:w="3331"/>
            <w:shd w:fill="EAF2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Yes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Integration and decision layer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decision score + planner action table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After foundations exist</w:t>
            </w:r>
          </w:p>
        </w:tc>
      </w:tr>
      <w:tr>
        <w:tc>
          <w:tcPr>
            <w:tcW w:type="dxa" w:w="3331"/>
            <w:shd w:fill="EAF2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App and presentation hardening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demo-ready UI and narrative</w:t>
            </w:r>
          </w:p>
        </w:tc>
        <w:tc>
          <w:tcPr>
            <w:tcW w:type="dxa" w:w="3331"/>
            <w:shd w:fill="EAF2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Late phase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173F6D"/>
          <w:left w:val="single" w:sz="10" w:space="0" w:color="173F6D"/>
          <w:bottom w:val="single" w:sz="10" w:space="0" w:color="173F6D"/>
          <w:right w:val="single" w:sz="10" w:space="0" w:color="173F6D"/>
          <w:insideH w:val="single" w:sz="10" w:space="0" w:color="173F6D"/>
          <w:insideV w:val="single" w:sz="10" w:space="0" w:color="173F6D"/>
        </w:tblBorders>
      </w:tblPr>
      <w:tblGrid>
        <w:gridCol w:w="9994"/>
      </w:tblGrid>
      <w:tr>
        <w:tc>
          <w:tcPr>
            <w:tcW w:type="dxa" w:w="9994"/>
            <w:shd w:fill="173F6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3. Recommended team split (3 people)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EE6"/>
          <w:left w:val="single" w:sz="8" w:space="0" w:color="D6DEE6"/>
          <w:bottom w:val="single" w:sz="8" w:space="0" w:color="D6DEE6"/>
          <w:right w:val="single" w:sz="8" w:space="0" w:color="D6DEE6"/>
          <w:insideH w:val="single" w:sz="8" w:space="0" w:color="D6DEE6"/>
          <w:insideV w:val="single" w:sz="8" w:space="0" w:color="D6DEE6"/>
        </w:tblBorders>
      </w:tblPr>
      <w:tblGrid>
        <w:gridCol w:w="3331"/>
        <w:gridCol w:w="3331"/>
        <w:gridCol w:w="3331"/>
      </w:tblGrid>
      <w:tr>
        <w:tc>
          <w:tcPr>
            <w:tcW w:type="dxa" w:w="1296"/>
            <w:shd w:fill="708F1C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Person</w:t>
            </w:r>
          </w:p>
        </w:tc>
        <w:tc>
          <w:tcPr>
            <w:tcW w:type="dxa" w:w="4608"/>
            <w:shd w:fill="708F1C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Primary ownership</w:t>
            </w:r>
          </w:p>
        </w:tc>
        <w:tc>
          <w:tcPr>
            <w:tcW w:type="dxa" w:w="3600"/>
            <w:shd w:fill="708F1C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Secondary ownership</w:t>
            </w:r>
          </w:p>
        </w:tc>
      </w:tr>
      <w:tr>
        <w:tc>
          <w:tcPr>
            <w:tcW w:type="dxa" w:w="3331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Person 1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Demand, scenarios, priority scoring, integration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Decision ranking and final actions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Person 2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Operational spine, capacity engine, plant economics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Reroute / upshift action rules</w:t>
            </w:r>
          </w:p>
        </w:tc>
      </w:tr>
      <w:tr>
        <w:tc>
          <w:tcPr>
            <w:tcW w:type="dxa" w:w="3331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Person 3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BOM, inventory, lead times, shipping lanes, disruption data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QA, assumptions log, demo-safe fallbacks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173F6D"/>
          <w:left w:val="single" w:sz="10" w:space="0" w:color="173F6D"/>
          <w:bottom w:val="single" w:sz="10" w:space="0" w:color="173F6D"/>
          <w:right w:val="single" w:sz="10" w:space="0" w:color="173F6D"/>
          <w:insideH w:val="single" w:sz="10" w:space="0" w:color="173F6D"/>
          <w:insideV w:val="single" w:sz="10" w:space="0" w:color="173F6D"/>
        </w:tblBorders>
      </w:tblPr>
      <w:tblGrid>
        <w:gridCol w:w="9994"/>
      </w:tblGrid>
      <w:tr>
        <w:tc>
          <w:tcPr>
            <w:tcW w:type="dxa" w:w="9994"/>
            <w:shd w:fill="173F6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4. Canonical tables to implement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EE6"/>
          <w:left w:val="single" w:sz="8" w:space="0" w:color="D6DEE6"/>
          <w:bottom w:val="single" w:sz="8" w:space="0" w:color="D6DEE6"/>
          <w:right w:val="single" w:sz="8" w:space="0" w:color="D6DEE6"/>
          <w:insideH w:val="single" w:sz="8" w:space="0" w:color="D6DEE6"/>
          <w:insideV w:val="single" w:sz="8" w:space="0" w:color="D6DEE6"/>
        </w:tblBorders>
      </w:tblPr>
      <w:tblGrid>
        <w:gridCol w:w="3331"/>
        <w:gridCol w:w="3331"/>
        <w:gridCol w:w="3331"/>
      </w:tblGrid>
      <w:tr>
        <w:tc>
          <w:tcPr>
            <w:tcW w:type="dxa" w:w="3672"/>
            <w:shd w:fill="5C4D9B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Table name</w:t>
            </w:r>
          </w:p>
        </w:tc>
        <w:tc>
          <w:tcPr>
            <w:tcW w:type="dxa" w:w="4536"/>
            <w:shd w:fill="5C4D9B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Grain</w:t>
            </w:r>
          </w:p>
        </w:tc>
        <w:tc>
          <w:tcPr>
            <w:tcW w:type="dxa" w:w="1008"/>
            <w:shd w:fill="5C4D9B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fact_pipeline_monthly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project x plant x material x month</w:t>
            </w:r>
          </w:p>
        </w:tc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dim_project_priority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project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</w:t>
            </w:r>
          </w:p>
        </w:tc>
      </w:tr>
      <w:tr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bridge_material_tool_wc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plant x material x revision</w:t>
            </w:r>
          </w:p>
        </w:tc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fact_wc_capacity_weekly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plant x work_center x week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</w:t>
            </w:r>
          </w:p>
        </w:tc>
      </w:tr>
      <w:tr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bridge_month_week_calendar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plant x month x week</w:t>
            </w:r>
          </w:p>
        </w:tc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fact_finished_to_component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plant x header_material x component_material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P3</w:t>
            </w:r>
          </w:p>
        </w:tc>
      </w:tr>
      <w:tr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fact_inventory_snapshot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plant x material</w:t>
            </w:r>
          </w:p>
        </w:tc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P3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dim_country_cost_index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country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</w:t>
            </w:r>
          </w:p>
        </w:tc>
      </w:tr>
      <w:tr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dim_plant_economics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plant</w:t>
            </w:r>
          </w:p>
        </w:tc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dim_lane_logistics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origin_plant x destination_region x mode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P3</w:t>
            </w:r>
          </w:p>
        </w:tc>
      </w:tr>
      <w:tr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dim_route_disruption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scenario x route_id</w:t>
            </w:r>
          </w:p>
        </w:tc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P3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fact_translated_project_demand_weekly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scenario x project x plant x material x week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</w:t>
            </w:r>
          </w:p>
        </w:tc>
      </w:tr>
      <w:tr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fact_scenario_capacity_weekly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scenario x plant x work_center x week</w:t>
            </w:r>
          </w:p>
        </w:tc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fact_scenario_sourcing_weekly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scenario x plant x component_material x week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P3</w:t>
            </w:r>
          </w:p>
        </w:tc>
      </w:tr>
      <w:tr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fact_network_option_scores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scenario x project x candidate_plant x week</w:t>
            </w:r>
          </w:p>
        </w:tc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P2/P3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fact_integrated_decisions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scenario x project or order x week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</w:t>
            </w:r>
          </w:p>
        </w:tc>
      </w:tr>
      <w:tr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fact_planner_actions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scenario x action</w:t>
            </w:r>
          </w:p>
        </w:tc>
        <w:tc>
          <w:tcPr>
            <w:tcW w:type="dxa" w:w="3331"/>
            <w:shd w:fill="F0EC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P1/P2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173F6D"/>
          <w:left w:val="single" w:sz="10" w:space="0" w:color="173F6D"/>
          <w:bottom w:val="single" w:sz="10" w:space="0" w:color="173F6D"/>
          <w:right w:val="single" w:sz="10" w:space="0" w:color="173F6D"/>
          <w:insideH w:val="single" w:sz="10" w:space="0" w:color="173F6D"/>
          <w:insideV w:val="single" w:sz="10" w:space="0" w:color="173F6D"/>
        </w:tblBorders>
      </w:tblPr>
      <w:tblGrid>
        <w:gridCol w:w="9994"/>
      </w:tblGrid>
      <w:tr>
        <w:tc>
          <w:tcPr>
            <w:tcW w:type="dxa" w:w="9994"/>
            <w:shd w:fill="173F6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5. Synthetic data generation rules</w:t>
            </w:r>
          </w:p>
        </w:tc>
      </w:tr>
    </w:tbl>
    <w:p>
      <w:pPr>
        <w:spacing w:after="60"/>
      </w:pPr>
    </w:p>
    <w:p>
      <w:pPr>
        <w:pStyle w:val="CaptionText"/>
      </w:pPr>
      <w:r>
        <w:rPr>
          <w:rFonts w:ascii="Aptos" w:hAnsi="Aptos"/>
          <w:b w:val="0"/>
          <w:i w:val="0"/>
          <w:sz w:val="22"/>
        </w:rPr>
        <w:t>Keep generation simple, deterministic, and easy to explain.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EE6"/>
          <w:left w:val="single" w:sz="8" w:space="0" w:color="D6DEE6"/>
          <w:bottom w:val="single" w:sz="8" w:space="0" w:color="D6DEE6"/>
          <w:right w:val="single" w:sz="8" w:space="0" w:color="D6DEE6"/>
          <w:insideH w:val="single" w:sz="8" w:space="0" w:color="D6DEE6"/>
          <w:insideV w:val="single" w:sz="8" w:space="0" w:color="D6DEE6"/>
        </w:tblBorders>
      </w:tblPr>
      <w:tblGrid>
        <w:gridCol w:w="3331"/>
        <w:gridCol w:w="3331"/>
        <w:gridCol w:w="3331"/>
      </w:tblGrid>
      <w:tr>
        <w:tc>
          <w:tcPr>
            <w:tcW w:type="dxa" w:w="2376"/>
            <w:shd w:fill="D77B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Synthetic layer</w:t>
            </w:r>
          </w:p>
        </w:tc>
        <w:tc>
          <w:tcPr>
            <w:tcW w:type="dxa" w:w="5328"/>
            <w:shd w:fill="D77B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Simple generation rule</w:t>
            </w:r>
          </w:p>
        </w:tc>
        <w:tc>
          <w:tcPr>
            <w:tcW w:type="dxa" w:w="2952"/>
            <w:shd w:fill="D77B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Acceptance rule</w:t>
            </w:r>
          </w:p>
        </w:tc>
      </w:tr>
      <w:tr>
        <w:tc>
          <w:tcPr>
            <w:tcW w:type="dxa" w:w="3331"/>
            <w:shd w:fill="FFF3E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Country wage index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Assign each plant country a normalized wage band (e.g. 0.8, 1.0, 1.2, 1.5).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Document every assigned value and rationale in assumptions.md.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Country energy index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Assign each plant country an energy-cost multiplier and optional scenario override.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No hidden values; scenario must show delta explicitly.</w:t>
            </w:r>
          </w:p>
        </w:tc>
      </w:tr>
      <w:tr>
        <w:tc>
          <w:tcPr>
            <w:tcW w:type="dxa" w:w="3331"/>
            <w:shd w:fill="FFF3E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Lane shipping cost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Create cost_per_unit or cost_per_weight by origin plant to destination region/mode.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Every candidate plant used in rerouting must have at least one lane definition.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Transit days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Assign baseline transit days by lane and mode, then allow scenario-based delay multipliers.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On-time logic must use the same transit definition everywhere.</w:t>
            </w:r>
          </w:p>
        </w:tc>
      </w:tr>
      <w:tr>
        <w:tc>
          <w:tcPr>
            <w:tcW w:type="dxa" w:w="3331"/>
            <w:shd w:fill="FFF3E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Route disruption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For each named scenario, mark affected lanes as blocked or delayed with extra cost/time.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 blocked lane must force fallback or escalation.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Service policy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Define promised days or penalty weight by customer or revenue tier.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The same service policy must feed priority, on-time, and action ranking.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173F6D"/>
          <w:left w:val="single" w:sz="10" w:space="0" w:color="173F6D"/>
          <w:bottom w:val="single" w:sz="10" w:space="0" w:color="173F6D"/>
          <w:right w:val="single" w:sz="10" w:space="0" w:color="173F6D"/>
          <w:insideH w:val="single" w:sz="10" w:space="0" w:color="173F6D"/>
          <w:insideV w:val="single" w:sz="10" w:space="0" w:color="173F6D"/>
        </w:tblBorders>
      </w:tblPr>
      <w:tblGrid>
        <w:gridCol w:w="9994"/>
      </w:tblGrid>
      <w:tr>
        <w:tc>
          <w:tcPr>
            <w:tcW w:type="dxa" w:w="9994"/>
            <w:shd w:fill="173F6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6. Updated scoring stack to implement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EE6"/>
          <w:left w:val="single" w:sz="8" w:space="0" w:color="D6DEE6"/>
          <w:bottom w:val="single" w:sz="8" w:space="0" w:color="D6DEE6"/>
          <w:right w:val="single" w:sz="8" w:space="0" w:color="D6DEE6"/>
          <w:insideH w:val="single" w:sz="8" w:space="0" w:color="D6DEE6"/>
          <w:insideV w:val="single" w:sz="8" w:space="0" w:color="D6DEE6"/>
        </w:tblBorders>
      </w:tblPr>
      <w:tblGrid>
        <w:gridCol w:w="4997"/>
        <w:gridCol w:w="4997"/>
      </w:tblGrid>
      <w:tr>
        <w:tc>
          <w:tcPr>
            <w:tcW w:type="dxa" w:w="3168"/>
            <w:shd w:fill="0B7A7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7056"/>
            <w:shd w:fill="0B7A7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997"/>
            <w:shd w:fill="E7F6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Expected quantity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raw_qty x probability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Expected value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project_value x probability</w:t>
            </w:r>
          </w:p>
        </w:tc>
      </w:tr>
      <w:tr>
        <w:tc>
          <w:tcPr>
            <w:tcW w:type="dxa" w:w="4997"/>
            <w:shd w:fill="E7F6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Business priority score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Probability + urgency + revenue tier + expected value + strategic segment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On-time feasibility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1 if estimated completion date + transit days &lt;= requested date, else penalty or 0</w:t>
            </w:r>
          </w:p>
        </w:tc>
      </w:tr>
      <w:tr>
        <w:tc>
          <w:tcPr>
            <w:tcW w:type="dxa" w:w="4997"/>
            <w:shd w:fill="E7F6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Economic attractiveness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Normalized inverse landed cost or expected contribution margin proxy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Resilience factor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Penalty for disruption exposure, weak fallback paths, or unstable countries/routes</w:t>
            </w:r>
          </w:p>
        </w:tc>
      </w:tr>
      <w:tr>
        <w:tc>
          <w:tcPr>
            <w:tcW w:type="dxa" w:w="4997"/>
            <w:shd w:fill="E7F6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Final decision score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Weighted combination of priority, feasibility, economics, and resilience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B7A75"/>
          <w:left w:val="single" w:sz="12" w:space="0" w:color="0B7A75"/>
          <w:bottom w:val="single" w:sz="12" w:space="0" w:color="0B7A75"/>
          <w:right w:val="single" w:sz="12" w:space="0" w:color="0B7A75"/>
          <w:insideH w:val="single" w:sz="12" w:space="0" w:color="0B7A75"/>
          <w:insideV w:val="single" w:sz="12" w:space="0" w:color="0B7A75"/>
        </w:tblBorders>
      </w:tblPr>
      <w:tblGrid>
        <w:gridCol w:w="9994"/>
      </w:tblGrid>
      <w:tr>
        <w:tc>
          <w:tcPr>
            <w:tcW w:type="dxa" w:w="9994"/>
            <w:shd w:fill="E7F6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0B7A75"/>
                <w:sz w:val="21"/>
              </w:rPr>
              <w:t>Minimal decision formula to start with</w:t>
            </w:r>
          </w:p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decision_score = 0.30*priority + 0.30*on_time_feasibility + 0.25*economic_attractiveness + 0.15*resilience. Keep the weights configurable in a simple YAML or JSON policy file.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173F6D"/>
          <w:left w:val="single" w:sz="10" w:space="0" w:color="173F6D"/>
          <w:bottom w:val="single" w:sz="10" w:space="0" w:color="173F6D"/>
          <w:right w:val="single" w:sz="10" w:space="0" w:color="173F6D"/>
          <w:insideH w:val="single" w:sz="10" w:space="0" w:color="173F6D"/>
          <w:insideV w:val="single" w:sz="10" w:space="0" w:color="173F6D"/>
        </w:tblBorders>
      </w:tblPr>
      <w:tblGrid>
        <w:gridCol w:w="9994"/>
      </w:tblGrid>
      <w:tr>
        <w:tc>
          <w:tcPr>
            <w:tcW w:type="dxa" w:w="9994"/>
            <w:shd w:fill="173F6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7. Phase-by-phase plan</w:t>
            </w:r>
          </w:p>
        </w:tc>
      </w:tr>
    </w:tbl>
    <w:p>
      <w:pPr>
        <w:spacing w:after="60"/>
      </w:pPr>
    </w:p>
    <w:p>
      <w:pPr>
        <w:pStyle w:val="CaptionText"/>
      </w:pPr>
      <w:r>
        <w:rPr>
          <w:rFonts w:ascii="Aptos" w:hAnsi="Aptos"/>
          <w:b w:val="0"/>
          <w:i w:val="0"/>
          <w:sz w:val="22"/>
        </w:rPr>
        <w:t>The phases below are designed so that three teammates and multiple AI agents can work concurrently.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EE6"/>
          <w:left w:val="single" w:sz="8" w:space="0" w:color="D6DEE6"/>
          <w:bottom w:val="single" w:sz="8" w:space="0" w:color="D6DEE6"/>
          <w:right w:val="single" w:sz="8" w:space="0" w:color="D6DEE6"/>
          <w:insideH w:val="single" w:sz="8" w:space="0" w:color="D6DEE6"/>
          <w:insideV w:val="single" w:sz="8" w:space="0" w:color="D6DEE6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648"/>
            <w:shd w:fill="173F6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3024"/>
            <w:shd w:fill="173F6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Goal</w:t>
            </w:r>
          </w:p>
        </w:tc>
        <w:tc>
          <w:tcPr>
            <w:tcW w:type="dxa" w:w="3816"/>
            <w:shd w:fill="173F6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Parallel tracks</w:t>
            </w:r>
          </w:p>
        </w:tc>
        <w:tc>
          <w:tcPr>
            <w:tcW w:type="dxa" w:w="2376"/>
            <w:shd w:fill="173F6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Exit criterion</w:t>
            </w:r>
          </w:p>
        </w:tc>
      </w:tr>
      <w:tr>
        <w:tc>
          <w:tcPr>
            <w:tcW w:type="dxa" w:w="2498"/>
            <w:shd w:fill="EAF2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0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Freeze contracts and assumptions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All three align on tables, keys, scenarios, scoring v2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contracts.md and assumptions.md approved</w:t>
            </w:r>
          </w:p>
        </w:tc>
      </w:tr>
      <w:t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Build repo-grounded foundations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 demand, P2 capacity, P3 sourcing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All canonical repo tables available</w:t>
            </w:r>
          </w:p>
        </w:tc>
      </w:tr>
      <w:tr>
        <w:tc>
          <w:tcPr>
            <w:tcW w:type="dxa" w:w="2498"/>
            <w:shd w:fill="EAF2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Build synthetic enrichment foundations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 country/plant economics, P3 lanes/disruptions, P1 service policy + priority refinement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All synthetic dimensions available</w:t>
            </w:r>
          </w:p>
        </w:tc>
      </w:tr>
      <w:t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Build engines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 translated demand/scenarios, P2 capacity + economics, P3 sourcing + logistics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Scenario outputs produced for at least one slice</w:t>
            </w:r>
          </w:p>
        </w:tc>
      </w:tr>
      <w:tr>
        <w:tc>
          <w:tcPr>
            <w:tcW w:type="dxa" w:w="2498"/>
            <w:shd w:fill="EAF2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Merge decision layer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 integration, P2 actions, P3 validation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Decision ranking and planner actions exist</w:t>
            </w:r>
          </w:p>
        </w:tc>
      </w:tr>
      <w:t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App and pitch hardening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All three converge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3-minute deterministic demo works live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173F6D"/>
          <w:left w:val="single" w:sz="10" w:space="0" w:color="173F6D"/>
          <w:bottom w:val="single" w:sz="10" w:space="0" w:color="173F6D"/>
          <w:right w:val="single" w:sz="10" w:space="0" w:color="173F6D"/>
          <w:insideH w:val="single" w:sz="10" w:space="0" w:color="173F6D"/>
          <w:insideV w:val="single" w:sz="10" w:space="0" w:color="173F6D"/>
        </w:tblBorders>
      </w:tblPr>
      <w:tblGrid>
        <w:gridCol w:w="9994"/>
      </w:tblGrid>
      <w:tr>
        <w:tc>
          <w:tcPr>
            <w:tcW w:type="dxa" w:w="9994"/>
            <w:shd w:fill="173F6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8. Work packages for coding agents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EE6"/>
          <w:left w:val="single" w:sz="8" w:space="0" w:color="D6DEE6"/>
          <w:bottom w:val="single" w:sz="8" w:space="0" w:color="D6DEE6"/>
          <w:right w:val="single" w:sz="8" w:space="0" w:color="D6DEE6"/>
          <w:insideH w:val="single" w:sz="8" w:space="0" w:color="D6DEE6"/>
          <w:insideV w:val="single" w:sz="8" w:space="0" w:color="D6DEE6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008"/>
            <w:shd w:fill="708F1C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WP</w:t>
            </w:r>
          </w:p>
        </w:tc>
        <w:tc>
          <w:tcPr>
            <w:tcW w:type="dxa" w:w="6840"/>
            <w:shd w:fill="708F1C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Objective</w:t>
            </w:r>
          </w:p>
        </w:tc>
        <w:tc>
          <w:tcPr>
            <w:tcW w:type="dxa" w:w="1152"/>
            <w:shd w:fill="708F1C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Complexity</w:t>
            </w:r>
          </w:p>
        </w:tc>
        <w:tc>
          <w:tcPr>
            <w:tcW w:type="dxa" w:w="1008"/>
            <w:shd w:fill="708F1C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WP0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Bootstrap repo, contracts, assumptions, tests</w:t>
            </w:r>
          </w:p>
        </w:tc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Low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Shared</w:t>
            </w:r>
          </w:p>
        </w:tc>
      </w:tr>
      <w:t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WP1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Canonicalize pipeline and project metadata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Low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</w:t>
            </w:r>
          </w:p>
        </w:tc>
      </w:tr>
      <w:tr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WP2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Build project priority and urgency scoring</w:t>
            </w:r>
          </w:p>
        </w:tc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Low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</w:t>
            </w:r>
          </w:p>
        </w:tc>
      </w:tr>
      <w:t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WP3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Normalize operational spine and revision rules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Medium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</w:t>
            </w:r>
          </w:p>
        </w:tc>
      </w:tr>
      <w:tr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WP4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Normalize weekly capacity and calendar bridge</w:t>
            </w:r>
          </w:p>
        </w:tc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Medium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</w:t>
            </w:r>
          </w:p>
        </w:tc>
      </w:tr>
      <w:t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WP5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Normalize BOM and inventory/lead-time layer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Medium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P3</w:t>
            </w:r>
          </w:p>
        </w:tc>
      </w:tr>
      <w:tr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WP6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Generate synthetic country cost indices and plant economics</w:t>
            </w:r>
          </w:p>
        </w:tc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Low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</w:t>
            </w:r>
          </w:p>
        </w:tc>
      </w:tr>
      <w:t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WP7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Generate lane logistics and disruption dimensions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Low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P3</w:t>
            </w:r>
          </w:p>
        </w:tc>
      </w:tr>
      <w:tr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WP8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Build translated weekly demand with scenarios</w:t>
            </w:r>
          </w:p>
        </w:tc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Medium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</w:t>
            </w:r>
          </w:p>
        </w:tc>
      </w:tr>
      <w:t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WP9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Build capacity overlay and bottleneck engine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Medium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</w:t>
            </w:r>
          </w:p>
        </w:tc>
      </w:tr>
      <w:tr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WP10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Build sourcing engine with order-by logic</w:t>
            </w:r>
          </w:p>
        </w:tc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Medium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P3</w:t>
            </w:r>
          </w:p>
        </w:tc>
      </w:tr>
      <w:t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WP11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Build network option scoring engine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High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P2/P3</w:t>
            </w:r>
          </w:p>
        </w:tc>
      </w:tr>
      <w:tr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WP12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Build integrated decision ranking</w:t>
            </w:r>
          </w:p>
        </w:tc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High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</w:t>
            </w:r>
          </w:p>
        </w:tc>
      </w:tr>
      <w:t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WP13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Build planner action engine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Medium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P1/P2</w:t>
            </w:r>
          </w:p>
        </w:tc>
      </w:tr>
      <w:tr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WP14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Build validation dashboard and fallback messages</w:t>
            </w:r>
          </w:p>
        </w:tc>
        <w:tc>
          <w:tcPr>
            <w:tcW w:type="dxa" w:w="2498"/>
            <w:shd w:fill="EEF5D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Low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P3</w:t>
            </w:r>
          </w:p>
        </w:tc>
      </w:tr>
      <w:t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center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WP15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Build Streamlit demo shell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Medium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7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Shared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173F6D"/>
          <w:left w:val="single" w:sz="10" w:space="0" w:color="173F6D"/>
          <w:bottom w:val="single" w:sz="10" w:space="0" w:color="173F6D"/>
          <w:right w:val="single" w:sz="10" w:space="0" w:color="173F6D"/>
          <w:insideH w:val="single" w:sz="10" w:space="0" w:color="173F6D"/>
          <w:insideV w:val="single" w:sz="10" w:space="0" w:color="173F6D"/>
        </w:tblBorders>
      </w:tblPr>
      <w:tblGrid>
        <w:gridCol w:w="9994"/>
      </w:tblGrid>
      <w:tr>
        <w:tc>
          <w:tcPr>
            <w:tcW w:type="dxa" w:w="9994"/>
            <w:shd w:fill="173F6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9. Acceptance criteria per engine</w:t>
            </w:r>
          </w:p>
        </w:tc>
      </w:tr>
    </w:tbl>
    <w:p>
      <w:pPr>
        <w:spacing w:after="60"/>
      </w:pP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Demand engine: every project row is translated into at least one scenario-adjusted weekly demand row or is explicitly flagged with a reason code.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Capacity engine: every mapped weekly demand row produces load, headroom, overload, and bottleneck fields.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Sourcing engine: every translated finished-demand row can be exploded to component demand or explicitly flagged.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Economics engine: every candidate plant or lane shown in the UI has a documented landed-cost calculation path.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Disruption engine: every named scenario changes at least one visible lane, cost, time, or availability field.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Decision engine: every action shown to the user can be traced back to priority, feasibility, economics, and resilience drivers.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173F6D"/>
          <w:left w:val="single" w:sz="10" w:space="0" w:color="173F6D"/>
          <w:bottom w:val="single" w:sz="10" w:space="0" w:color="173F6D"/>
          <w:right w:val="single" w:sz="10" w:space="0" w:color="173F6D"/>
          <w:insideH w:val="single" w:sz="10" w:space="0" w:color="173F6D"/>
          <w:insideV w:val="single" w:sz="10" w:space="0" w:color="173F6D"/>
        </w:tblBorders>
      </w:tblPr>
      <w:tblGrid>
        <w:gridCol w:w="9994"/>
      </w:tblGrid>
      <w:tr>
        <w:tc>
          <w:tcPr>
            <w:tcW w:type="dxa" w:w="9994"/>
            <w:shd w:fill="173F6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10. Demo path to optimize for</w:t>
            </w:r>
          </w:p>
        </w:tc>
      </w:tr>
    </w:tbl>
    <w:p>
      <w:pPr>
        <w:spacing w:after="60"/>
      </w:pP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Select a project or filtered demand slice with probability, requested delivery date, and priority visible.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Show two candidate plants: one operationally feasible but expensive, one cheaper but slower or riskier.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Show material and capacity feasibility side by side.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Show landed cost and estimated delivery days by candidate plant/lane.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Trigger a disruption scenario such as a blocked route or energy shock.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Show the planner action changing from produce here -&gt; reroute there -&gt; escalate or split order.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173F6D"/>
          <w:left w:val="single" w:sz="10" w:space="0" w:color="173F6D"/>
          <w:bottom w:val="single" w:sz="10" w:space="0" w:color="173F6D"/>
          <w:right w:val="single" w:sz="10" w:space="0" w:color="173F6D"/>
          <w:insideH w:val="single" w:sz="10" w:space="0" w:color="173F6D"/>
          <w:insideV w:val="single" w:sz="10" w:space="0" w:color="173F6D"/>
        </w:tblBorders>
      </w:tblPr>
      <w:tblGrid>
        <w:gridCol w:w="9994"/>
      </w:tblGrid>
      <w:tr>
        <w:tc>
          <w:tcPr>
            <w:tcW w:type="dxa" w:w="9994"/>
            <w:shd w:fill="173F6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11. Guardrails for the team and the agents</w:t>
            </w:r>
          </w:p>
        </w:tc>
      </w:tr>
    </w:tbl>
    <w:p>
      <w:pPr>
        <w:spacing w:after="60"/>
      </w:pP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Never let synthetic columns overwrite repo-grounded columns; keep them in separate dimensions or clearly named derived fields.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Never claim real shipping prices or real geopolitical forecasts; label them as scenario inputs or synthetic assumptions.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Never merge on fuzzy keys silently; every dropped or unmapped row needs a reason code.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Never build a single notebook that owns the whole workflow; force all agents to write reusable tables or modules.</w:t>
      </w:r>
    </w:p>
    <w:p>
      <w:pPr>
        <w:pStyle w:val="BodyText2"/>
        <w:spacing w:after="40"/>
        <w:ind w:left="170" w:hanging="113"/>
      </w:pPr>
      <w:r>
        <w:rPr>
          <w:rFonts w:ascii="Aptos" w:hAnsi="Aptos"/>
          <w:b w:val="0"/>
          <w:i w:val="0"/>
          <w:color w:val="1F2937"/>
          <w:sz w:val="20"/>
        </w:rPr>
        <w:t>• Never let the UI expose a score without the human-readable explanation of why that score exists.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173F6D"/>
          <w:left w:val="single" w:sz="10" w:space="0" w:color="173F6D"/>
          <w:bottom w:val="single" w:sz="10" w:space="0" w:color="173F6D"/>
          <w:right w:val="single" w:sz="10" w:space="0" w:color="173F6D"/>
          <w:insideH w:val="single" w:sz="10" w:space="0" w:color="173F6D"/>
          <w:insideV w:val="single" w:sz="10" w:space="0" w:color="173F6D"/>
        </w:tblBorders>
      </w:tblPr>
      <w:tblGrid>
        <w:gridCol w:w="9994"/>
      </w:tblGrid>
      <w:tr>
        <w:tc>
          <w:tcPr>
            <w:tcW w:type="dxa" w:w="9994"/>
            <w:shd w:fill="173F6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12. Final recommendation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73F6D"/>
          <w:left w:val="single" w:sz="12" w:space="0" w:color="173F6D"/>
          <w:bottom w:val="single" w:sz="12" w:space="0" w:color="173F6D"/>
          <w:right w:val="single" w:sz="12" w:space="0" w:color="173F6D"/>
          <w:insideH w:val="single" w:sz="12" w:space="0" w:color="173F6D"/>
          <w:insideV w:val="single" w:sz="12" w:space="0" w:color="173F6D"/>
        </w:tblBorders>
      </w:tblPr>
      <w:tblGrid>
        <w:gridCol w:w="9994"/>
      </w:tblGrid>
      <w:tr>
        <w:tc>
          <w:tcPr>
            <w:tcW w:type="dxa" w:w="9994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73F6D"/>
                <w:sz w:val="21"/>
              </w:rPr>
              <w:t>How to describe this execution model</w:t>
            </w:r>
          </w:p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We are building the product as a modular workflow system: repo-grounded feasibility and synthetic network economics are developed in parallel, then merged into a single decision layer that ranks the best planner action under both normal and disruption scenarios.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F6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Aptos" w:hAnsi="Aptos"/>
      <w:i/>
      <w:iCs/>
      <w:color w:val="5F63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">
    <w:name w:val="SectionHead"/>
    <w:pPr>
      <w:spacing w:before="200" w:after="120"/>
    </w:pPr>
    <w:rPr>
      <w:rFonts w:ascii="Aptos" w:hAnsi="Aptos"/>
      <w:b/>
      <w:color w:val="173F6D"/>
      <w:sz w:val="30"/>
    </w:rPr>
  </w:style>
  <w:style w:type="paragraph" w:customStyle="1" w:styleId="SubHead">
    <w:name w:val="SubHead"/>
    <w:pPr>
      <w:spacing w:before="120" w:after="60"/>
    </w:pPr>
    <w:rPr>
      <w:rFonts w:ascii="Aptos" w:hAnsi="Aptos"/>
      <w:b/>
      <w:color w:val="1F2937"/>
      <w:sz w:val="23"/>
    </w:rPr>
  </w:style>
  <w:style w:type="paragraph" w:customStyle="1" w:styleId="BodyText2">
    <w:name w:val="BodyText2"/>
    <w:pPr>
      <w:spacing w:line="276" w:lineRule="auto" w:after="100"/>
    </w:pPr>
    <w:rPr>
      <w:rFonts w:ascii="Aptos" w:hAnsi="Aptos"/>
      <w:color w:val="1F2937"/>
      <w:sz w:val="21"/>
    </w:rPr>
  </w:style>
  <w:style w:type="paragraph" w:customStyle="1" w:styleId="SmallText">
    <w:name w:val="SmallText"/>
    <w:pPr>
      <w:spacing w:line="264" w:lineRule="auto" w:after="60"/>
    </w:pPr>
    <w:rPr>
      <w:rFonts w:ascii="Aptos" w:hAnsi="Aptos"/>
      <w:color w:val="4B5563"/>
      <w:sz w:val="18"/>
    </w:rPr>
  </w:style>
  <w:style w:type="paragraph" w:customStyle="1" w:styleId="CaptionText">
    <w:name w:val="CaptionText"/>
    <w:pPr>
      <w:spacing w:after="160"/>
    </w:pPr>
    <w:rPr>
      <w:rFonts w:ascii="Aptos" w:hAnsi="Aptos"/>
      <w:i/>
      <w:color w:val="5F636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