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D7620" w:rsidRPr="006D7620" w:rsidRDefault="006D7620" w:rsidP="006D7620">
      <w:pPr>
        <w:shd w:val="clear" w:color="auto" w:fill="FFFFFF"/>
        <w:spacing w:before="100" w:beforeAutospacing="1" w:after="240" w:line="450" w:lineRule="atLeast"/>
        <w:outlineLvl w:val="0"/>
        <w:rPr>
          <w:rFonts w:ascii="Segoe UI" w:eastAsia="Times New Roman" w:hAnsi="Segoe UI" w:cs="Segoe UI"/>
          <w:b/>
          <w:bCs/>
          <w:color w:val="0F1115"/>
          <w:kern w:val="36"/>
          <w:sz w:val="32"/>
          <w:szCs w:val="32"/>
        </w:rPr>
      </w:pPr>
      <w:r w:rsidRPr="006D7620">
        <w:rPr>
          <w:rFonts w:ascii="Segoe UI" w:eastAsia="Times New Roman" w:hAnsi="Segoe UI" w:cs="Segoe UI"/>
          <w:b/>
          <w:bCs/>
          <w:color w:val="0F1115"/>
          <w:kern w:val="36"/>
          <w:sz w:val="32"/>
          <w:szCs w:val="32"/>
        </w:rPr>
        <w:t>From Extraction Confidence to Causal Reliability</w: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A Simulation-Calibrated Framework for Uncertainty Propagation in LLM-Based Scientific Knowledge Extraction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Manuscript draft v0.1 — Methods complete, Results pending</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Every numeric placeholder is written as </w:t>
      </w:r>
      <w:r w:rsidRPr="006D7620">
        <w:rPr>
          <w:rFonts w:ascii="Consolas" w:eastAsia="Times New Roman" w:hAnsi="Consolas" w:cs="Courier New"/>
          <w:color w:val="0F1115"/>
          <w:sz w:val="16"/>
          <w:szCs w:val="16"/>
          <w:shd w:val="clear" w:color="auto" w:fill="FAFAFA"/>
        </w:rPr>
        <w:t>[[RQn.metric]]</w:t>
      </w:r>
      <w:r w:rsidRPr="006D7620">
        <w:rPr>
          <w:rFonts w:ascii="Segoe UI" w:eastAsia="Times New Roman" w:hAnsi="Segoe UI" w:cs="Segoe UI"/>
          <w:color w:val="0F1115"/>
          <w:sz w:val="21"/>
          <w:szCs w:val="21"/>
        </w:rPr>
        <w:t> and maps to a specific function in the repository. N</w:t>
      </w:r>
      <w:bookmarkStart w:id="0" w:name="_GoBack"/>
      <w:bookmarkEnd w:id="0"/>
      <w:r w:rsidRPr="006D7620">
        <w:rPr>
          <w:rFonts w:ascii="Segoe UI" w:eastAsia="Times New Roman" w:hAnsi="Segoe UI" w:cs="Segoe UI"/>
          <w:color w:val="0F1115"/>
          <w:sz w:val="21"/>
          <w:szCs w:val="21"/>
        </w:rPr>
        <w:t>o number in this file is invented. When the corresponding pipeline stage runs, each placeholder is replaced by that function's output, and the mapping is what makes the substitution mechanical rather than a rewriting exercise.</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25"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Abstract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Large language models now extract quantitative data from scientific literature at high accuracy, and that accuracy is reported in isolation: precision, recall and F1 against a hand-built gold standard, with no reference to whether a given extraction error changes any downstream conclusion. Extracted values are then treated as ground truth. We address both problems together. We introduce </w:t>
      </w:r>
      <w:r w:rsidRPr="006D7620">
        <w:rPr>
          <w:rFonts w:ascii="Segoe UI" w:eastAsia="Times New Roman" w:hAnsi="Segoe UI" w:cs="Segoe UI"/>
          <w:b/>
          <w:bCs/>
          <w:color w:val="0F1115"/>
          <w:sz w:val="21"/>
          <w:szCs w:val="21"/>
        </w:rPr>
        <w:t>causal impact of extraction error</w:t>
      </w:r>
      <w:r w:rsidRPr="006D7620">
        <w:rPr>
          <w:rFonts w:ascii="Segoe UI" w:eastAsia="Times New Roman" w:hAnsi="Segoe UI" w:cs="Segoe UI"/>
          <w:color w:val="0F1115"/>
          <w:sz w:val="21"/>
          <w:szCs w:val="21"/>
        </w:rPr>
        <w:t>, an evaluation criterion defined per record as the Structural Hamming Distance induced by correcting that record, which converts a single per-corpus quality number into a per-record quantity that can be correlated with extraction uncertainty. We then ask whether per-value extraction uncertainty — measured from three independent signals — predicts that causal impact, and whether propagating the uncertainty changes the recovered structure relative to uniform weighting. Because a study of this kind is only as credible as its error model, the framework is </w:t>
      </w:r>
      <w:r w:rsidRPr="006D7620">
        <w:rPr>
          <w:rFonts w:ascii="Segoe UI" w:eastAsia="Times New Roman" w:hAnsi="Segoe UI" w:cs="Segoe UI"/>
          <w:b/>
          <w:bCs/>
          <w:color w:val="0F1115"/>
          <w:sz w:val="21"/>
          <w:szCs w:val="21"/>
        </w:rPr>
        <w:t>calibrated against synthetic data with a known ground-truth graph and controlled error injection</w:t>
      </w:r>
      <w:r w:rsidRPr="006D7620">
        <w:rPr>
          <w:rFonts w:ascii="Segoe UI" w:eastAsia="Times New Roman" w:hAnsi="Segoe UI" w:cs="Segoe UI"/>
          <w:color w:val="0F1115"/>
          <w:sz w:val="21"/>
          <w:szCs w:val="21"/>
        </w:rPr>
        <w:t> before being applied to real literature; the calibration yields the attainable ceiling of any uncertainty metric on this task, a power analysis that sets the required corpus size, and a price list for the failure mode the recent literature identifies as most dangerous. Applied across boron-doped diamond electrodes and halide perovskite photovoltaics — chosen to contrast figure-bound against tabulated extraction, and the latter validated against an independently curated FAIR database rather than our own annotation — the framework reports [[RQ2.auc]] ranking performance for extraction uncertainty against verified error, and [[RQ4.r_impact]] between per-record uncertainty and per-record causal impact. Pre-registered across all outcomes, including nulls.</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26"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1. Introduction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lastRenderedPageBreak/>
        <w:t>The growth of the scientific literature has outpaced any individual researcher's capacity to integrate it. Automated extraction using large language models has emerged as the response, and it works: systems now recover structured tabular data from materials-science papers at F1 scores approaching 97 %, and the general shift from rule-based to LLM-based pipelines is essentially complete.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Three limitations persist across this body of work, and they are not independent.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Extraction quality is evaluated in isolation.</w:t>
      </w:r>
      <w:r w:rsidRPr="006D7620">
        <w:rPr>
          <w:rFonts w:ascii="Segoe UI" w:eastAsia="Times New Roman" w:hAnsi="Segoe UI" w:cs="Segoe UI"/>
          <w:color w:val="0F1115"/>
          <w:sz w:val="21"/>
          <w:szCs w:val="21"/>
        </w:rPr>
        <w:t> Systems are scored by precision, recall and F1 against a gold-standard subset. This measures the extractor in a vacuum. An error that leaves every downstream conclusion unchanged is scored identically to an error that reverses a causal conclusion, even though only one of them matters. The consequence is that reported accuracy figures carry no information about whether the extracted data can support the analyses it is intended to support.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Extraction uncertainty is discarded.</w:t>
      </w:r>
      <w:r w:rsidRPr="006D7620">
        <w:rPr>
          <w:rFonts w:ascii="Segoe UI" w:eastAsia="Times New Roman" w:hAnsi="Segoe UI" w:cs="Segoe UI"/>
          <w:color w:val="0F1115"/>
          <w:sz w:val="21"/>
          <w:szCs w:val="21"/>
        </w:rPr>
        <w:t> Once a value is written to a database it is treated as ground truth. But extraction is not deterministic: the same value may come back differently under different prompt formulations, and some values are genuinely more ambiguous in the source text than others. The reliability of any downstream statistical or causal claim is therefore disconnected from the reliability of its inputs — and because measurement error is known to produce spurious edges in structure learning, that disconnection is not hypothetical.</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Narrative prose is largely excluded.</w:t>
      </w:r>
      <w:r w:rsidRPr="006D7620">
        <w:rPr>
          <w:rFonts w:ascii="Segoe UI" w:eastAsia="Times New Roman" w:hAnsi="Segoe UI" w:cs="Segoe UI"/>
          <w:color w:val="0F1115"/>
          <w:sz w:val="21"/>
          <w:szCs w:val="21"/>
        </w:rPr>
        <w:t> The dominant application domain is structured tables. But performance values, service lifetimes and failure thresholds are frequently reported inside paragraphs, and figure-bound values are excluded almost entirely. The knowledge that automated pipelines currently reach is therefore a biased sample of the knowledge that exists.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This paper addresses all three through a single framework with a fourth element that, we argue, is what makes the other three credible. The framework is </w:t>
      </w:r>
      <w:r w:rsidRPr="006D7620">
        <w:rPr>
          <w:rFonts w:ascii="Segoe UI" w:eastAsia="Times New Roman" w:hAnsi="Segoe UI" w:cs="Segoe UI"/>
          <w:b/>
          <w:bCs/>
          <w:color w:val="0F1115"/>
          <w:sz w:val="21"/>
          <w:szCs w:val="21"/>
        </w:rPr>
        <w:t>calibrated against known ground truth before it is applied to real literature</w:t>
      </w:r>
      <w:r w:rsidRPr="006D7620">
        <w:rPr>
          <w:rFonts w:ascii="Segoe UI" w:eastAsia="Times New Roman" w:hAnsi="Segoe UI" w:cs="Segoe UI"/>
          <w:color w:val="0F1115"/>
          <w:sz w:val="21"/>
          <w:szCs w:val="21"/>
        </w:rPr>
        <w:t>. Without that step, a study of this kind reports a correlation between two quantities whose error structure is itself unknown, and no reader can distinguish a real effect from an artefact of the pipeline.</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Contributions</w:t>
      </w:r>
    </w:p>
    <w:p w:rsidR="006D7620" w:rsidRPr="006D7620" w:rsidRDefault="006D7620" w:rsidP="006D7620">
      <w:pPr>
        <w:numPr>
          <w:ilvl w:val="0"/>
          <w:numId w:val="1"/>
        </w:numPr>
        <w:shd w:val="clear" w:color="auto" w:fill="FFFFFF"/>
        <w:spacing w:beforeAutospacing="1"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Causal impact of extraction error</w:t>
      </w:r>
      <w:r w:rsidRPr="006D7620">
        <w:rPr>
          <w:rFonts w:ascii="Segoe UI" w:eastAsia="Times New Roman" w:hAnsi="Segoe UI" w:cs="Segoe UI"/>
          <w:color w:val="0F1115"/>
          <w:sz w:val="21"/>
          <w:szCs w:val="21"/>
        </w:rPr>
        <w:t>, an evaluation criterion that scores extraction by its effect on downstream inference rather than in isolation, defined per record so that it is statistically usable — see Section 3.5.</w:t>
      </w:r>
    </w:p>
    <w:p w:rsidR="006D7620" w:rsidRPr="006D7620" w:rsidRDefault="006D7620" w:rsidP="006D7620">
      <w:pPr>
        <w:numPr>
          <w:ilvl w:val="0"/>
          <w:numId w:val="1"/>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A simulation-calibrated uncertainty-propagation framework</w:t>
      </w:r>
      <w:r w:rsidRPr="006D7620">
        <w:rPr>
          <w:rFonts w:ascii="Segoe UI" w:eastAsia="Times New Roman" w:hAnsi="Segoe UI" w:cs="Segoe UI"/>
          <w:color w:val="0F1115"/>
          <w:sz w:val="21"/>
          <w:szCs w:val="21"/>
        </w:rPr>
        <w:t>, characterised against known ground truth across sample sizes, effect sizes and error regimes, yielding the attainable ceiling of the task, a power analysis, and a calibration curve from observed uncertainty to expected structural change — Section 3.1.</w:t>
      </w:r>
    </w:p>
    <w:p w:rsidR="006D7620" w:rsidRPr="006D7620" w:rsidRDefault="006D7620" w:rsidP="006D7620">
      <w:pPr>
        <w:numPr>
          <w:ilvl w:val="0"/>
          <w:numId w:val="1"/>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Multi-signal uncertainty for scientific extraction</w:t>
      </w:r>
      <w:r w:rsidRPr="006D7620">
        <w:rPr>
          <w:rFonts w:ascii="Segoe UI" w:eastAsia="Times New Roman" w:hAnsi="Segoe UI" w:cs="Segoe UI"/>
          <w:color w:val="0F1115"/>
          <w:sz w:val="21"/>
          <w:szCs w:val="21"/>
        </w:rPr>
        <w:t>, combining paraphrase self-consistency, token entropy and a cross-model epistemic term, with an ablation establishing each signal's incremental value and a diagnostic for the failure mode that defeats dispersion alone — Sections 3.3 and 3.6.</w:t>
      </w:r>
    </w:p>
    <w:p w:rsidR="006D7620" w:rsidRPr="006D7620" w:rsidRDefault="006D7620" w:rsidP="006D7620">
      <w:pPr>
        <w:numPr>
          <w:ilvl w:val="0"/>
          <w:numId w:val="1"/>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A dual-validated corpus</w:t>
      </w:r>
      <w:r w:rsidRPr="006D7620">
        <w:rPr>
          <w:rFonts w:ascii="Segoe UI" w:eastAsia="Times New Roman" w:hAnsi="Segoe UI" w:cs="Segoe UI"/>
          <w:color w:val="0F1115"/>
          <w:sz w:val="21"/>
          <w:szCs w:val="21"/>
        </w:rPr>
        <w:t>, with a hand-annotated BDD gold standard and a perovskite validation set built against an independently curated external database — Section 3.4.</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We claim no novelty over the uncertainty signal itself. Paraphrase-induced variance as an uncertainty measure is prior art, and we say so in Section 2. Our claim begins strictly downstream of the signal.</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27"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2. Related Work</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2.1 LLM-based extraction from scientific literature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field moved from rule-based pipelines to LLM-based extraction, and reported accuracies are now high. MaTableGPT reports F1 near 97 % on structured tables from materials-science literature; Polak &amp; Morgan's ChatExtract reports roughly 90 % precision and recall; Dagdelen et al. (2024) is the canonical demonstration of structured extraction at scale. Two facts about this literature matter here. First, accuracy is measured in isolation — every system above is scored by precision, recall and F1 against a gold subset, and none asks whether an extraction error changes any downstream conclusion. Second, none of it quantifies extraction uncertainty at all, which makes the uncertainty question a genuine gap rather than an unexamined one.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one place we are not first: Khalighinejad et al. (2024) already apply self-consistency to full-document extraction in materials and polymer literature. "Self-consistency for scientific extraction" is therefore prior art and we do not claim it. What that work does not do — and what remains open — is propagate the resulting uncertainty into a downstream inference and calibrate the relationship against ground truth.</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2.2 Uncertainty quantification for extraction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Self-consistency originates as a </w:t>
      </w:r>
      <w:r w:rsidRPr="006D7620">
        <w:rPr>
          <w:rFonts w:ascii="Segoe UI" w:eastAsia="Times New Roman" w:hAnsi="Segoe UI" w:cs="Segoe UI"/>
          <w:i/>
          <w:iCs/>
          <w:color w:val="0F1115"/>
          <w:sz w:val="21"/>
          <w:szCs w:val="21"/>
        </w:rPr>
        <w:t>decoding</w:t>
      </w:r>
      <w:r w:rsidRPr="006D7620">
        <w:rPr>
          <w:rFonts w:ascii="Segoe UI" w:eastAsia="Times New Roman" w:hAnsi="Segoe UI" w:cs="Segoe UI"/>
          <w:color w:val="0F1115"/>
          <w:sz w:val="21"/>
          <w:szCs w:val="21"/>
        </w:rPr>
        <w:t> method for accuracy (Wang et al., 2023) and was never framed there as calibrated uncertainty; the lineage that treats sampling as an uncertainty signal is semantic entropy (Kuhn, Gal &amp; Farquhar, 2023) and its successor (Farquhar et al., 2024), which explicitly restrict their target to confabulations. For extraction specifically, Kim et al. (2025) is the closest published analogue to our work — LLM extraction with an LLM-as-judge verification stage and conformal prediction over 10 000 clinical visits, describing state-of-the-art models as "notoriously miscalibrated and overconfident". </w:t>
      </w:r>
      <w:r w:rsidRPr="006D7620">
        <w:rPr>
          <w:rFonts w:ascii="Segoe UI" w:eastAsia="Times New Roman" w:hAnsi="Segoe UI" w:cs="Segoe UI"/>
          <w:b/>
          <w:bCs/>
          <w:color w:val="0F1115"/>
          <w:sz w:val="21"/>
          <w:szCs w:val="21"/>
        </w:rPr>
        <w:t>It does not use dispersion; it uses conformal prediction.</w:t>
      </w:r>
      <w:r w:rsidRPr="006D7620">
        <w:rPr>
          <w:rFonts w:ascii="Segoe UI" w:eastAsia="Times New Roman" w:hAnsi="Segoe UI" w:cs="Segoe UI"/>
          <w:color w:val="0F1115"/>
          <w:sz w:val="21"/>
          <w:szCs w:val="21"/>
        </w:rPr>
        <w:t> Xu &amp; Lu (2025) likewise report that token-entropy measures with split conformal calibration outperform self-consistency-based uncertainty quantification. We adopt conformal calibration for that reason.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Paraphrase-induced variance is used as an uncertainty measure in an independent line of work (Atalkar, Sohani &amp; Deogaonkar, 2026; Feng et al., 2025) and analysed favourably per item by Ali (2026). We therefore make no novelty claim over the signal, and this section exists so that the claim is not mistaken for one.</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2.3 What sampling-based uncertainty can and cannot do</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Ali (2026) separates two claims that are routinely conflated. Applying a Marchenko–Pastur random-matrix test across five model families and three benchmarks, it finds that self-consistency gives </w:t>
      </w:r>
      <w:r w:rsidRPr="006D7620">
        <w:rPr>
          <w:rFonts w:ascii="Segoe UI" w:eastAsia="Times New Roman" w:hAnsi="Segoe UI" w:cs="Segoe UI"/>
          <w:b/>
          <w:bCs/>
          <w:color w:val="0F1115"/>
          <w:sz w:val="21"/>
          <w:szCs w:val="21"/>
        </w:rPr>
        <w:t>accurate per-question uncertainty but no detectable cross-question structure</w:t>
      </w:r>
      <w:r w:rsidRPr="006D7620">
        <w:rPr>
          <w:rFonts w:ascii="Segoe UI" w:eastAsia="Times New Roman" w:hAnsi="Segoe UI" w:cs="Segoe UI"/>
          <w:color w:val="0F1115"/>
          <w:sz w:val="21"/>
          <w:szCs w:val="21"/>
        </w:rPr>
        <w:t>: within any single model, at most one dimension rises above the noise edge, whereas a diverse 24-model ensemble surfaces four. The distinction maps directly onto our design. We need per-value uncertainty, which this result supports; we do not need cross-question correlated-error structure, which it shows a single model cannot supply. The cross-model term is therefore not redundant padding — it is the mechanism the literature identifies as the only route to ensemble-level structure.</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2.4 Confident mode collapse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Hamidieh et al. (2026) identify the failure mode that would break a dispersion-only design outright: self-consistency "collapses when models are overconfident and produce the same incorrect answer across samples", and cross-model semantic disagreement is higher on incorrect answers precisely when aleatoric uncertainty is low. For an extraction pipeline this is the error that matters most, because a confidently wrong value is exactly the error a downstream causal analysis cannot absorb. The mechanism is documented for aligned models generally by Xiao et al. (2025), who show that pre-trained models are well calibrated and become poorly calibrated </w:t>
      </w:r>
      <w:r w:rsidRPr="006D7620">
        <w:rPr>
          <w:rFonts w:ascii="Segoe UI" w:eastAsia="Times New Roman" w:hAnsi="Segoe UI" w:cs="Segoe UI"/>
          <w:i/>
          <w:iCs/>
          <w:color w:val="0F1115"/>
          <w:sz w:val="21"/>
          <w:szCs w:val="21"/>
        </w:rPr>
        <w:t>after</w:t>
      </w:r>
      <w:r w:rsidRPr="006D7620">
        <w:rPr>
          <w:rFonts w:ascii="Segoe UI" w:eastAsia="Times New Roman" w:hAnsi="Segoe UI" w:cs="Segoe UI"/>
          <w:color w:val="0F1115"/>
          <w:sz w:val="21"/>
          <w:szCs w:val="21"/>
        </w:rPr>
        <w:t> preference alignment — which is the class of model an extraction pipeline would use. We therefore promote the cross-model term to a primary defence and make mode collapse its own pre-registered diagnostic (Section 3.6).</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2.5 Measurement error in causal structure learning</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This is prior art, not a gap. Blom et al. (2018) obtain an upper bound for the variance of random measurement error from the covariance matrix and use it </w:t>
      </w:r>
      <w:r w:rsidRPr="006D7620">
        <w:rPr>
          <w:rFonts w:ascii="Segoe UI" w:eastAsia="Times New Roman" w:hAnsi="Segoe UI" w:cs="Segoe UI"/>
          <w:b/>
          <w:bCs/>
          <w:color w:val="0F1115"/>
          <w:sz w:val="21"/>
          <w:szCs w:val="21"/>
        </w:rPr>
        <w:t>as a correction for constraint-based causal discovery</w:t>
      </w:r>
      <w:r w:rsidRPr="006D7620">
        <w:rPr>
          <w:rFonts w:ascii="Segoe UI" w:eastAsia="Times New Roman" w:hAnsi="Segoe UI" w:cs="Segoe UI"/>
          <w:color w:val="0F1115"/>
          <w:sz w:val="21"/>
          <w:szCs w:val="21"/>
        </w:rPr>
        <w:t> — uncertainty propagated into inference, published in 2018. Liu, Constantinou &amp; Guo (2022) state the same problem and add a post-hoc correction phase for five learners; Saeed et al. (2020) give a method-of-moments estimator used with constraint-based discovery; Zhang et al. (2018) give identifiability conditions. </w:t>
      </w:r>
      <w:r w:rsidRPr="006D7620">
        <w:rPr>
          <w:rFonts w:ascii="Segoe UI" w:eastAsia="Times New Roman" w:hAnsi="Segoe UI" w:cs="Segoe UI"/>
          <w:b/>
          <w:bCs/>
          <w:color w:val="0F1115"/>
          <w:sz w:val="21"/>
          <w:szCs w:val="21"/>
        </w:rPr>
        <w:t>The measurement-error problem is therefore studied, and any claim to have discovered it would be false.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What remains open is narrower. Every work above models uncertainty as i.i.d. statistical noise on an otherwise measured variable — typically additive, zero-mean, homogeneous in variance. The error of an LLM extraction pipeline is none of those things: it is correlated across records through shared prompts and shared source papers, heterogeneous in variance across relations, not zero-mean, and reproducible only under a frozen prompt set. Whether measurement-error theory transfers to that object is an open empirical question, and it is the question our simulation grid is built to answer.</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2.6 Robustness of causal discovery and the sample-size floor</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metrics have known limits. Structural Hamming Distance originates with Tsamardinos, Brown &amp; Aliferis (2006) — note that the </w:t>
      </w:r>
      <w:r w:rsidRPr="006D7620">
        <w:rPr>
          <w:rFonts w:ascii="Consolas" w:eastAsia="Times New Roman" w:hAnsi="Consolas" w:cs="Courier New"/>
          <w:color w:val="0F1115"/>
          <w:sz w:val="16"/>
          <w:szCs w:val="16"/>
          <w:shd w:val="clear" w:color="auto" w:fill="FAFAFA"/>
        </w:rPr>
        <w:t>pcalg</w:t>
      </w:r>
      <w:r w:rsidRPr="006D7620">
        <w:rPr>
          <w:rFonts w:ascii="Segoe UI" w:eastAsia="Times New Roman" w:hAnsi="Segoe UI" w:cs="Segoe UI"/>
          <w:color w:val="0F1115"/>
          <w:sz w:val="21"/>
          <w:szCs w:val="21"/>
        </w:rPr>
        <w:t> reference list misprints the venue, and we do not propagate that error. Peters &amp; Bühlmann (2015) show that Structural Intervention Distance "differs significantly" from SHD because it measures closeness in terms of the causal inference statements a graph supports, so </w:t>
      </w:r>
      <w:r w:rsidRPr="006D7620">
        <w:rPr>
          <w:rFonts w:ascii="Segoe UI" w:eastAsia="Times New Roman" w:hAnsi="Segoe UI" w:cs="Segoe UI"/>
          <w:b/>
          <w:bCs/>
          <w:color w:val="0F1115"/>
          <w:sz w:val="21"/>
          <w:szCs w:val="21"/>
        </w:rPr>
        <w:t>SHD alone is not evidence that a causal claim is sound</w:t>
      </w:r>
      <w:r w:rsidRPr="006D7620">
        <w:rPr>
          <w:rFonts w:ascii="Segoe UI" w:eastAsia="Times New Roman" w:hAnsi="Segoe UI" w:cs="Segoe UI"/>
          <w:color w:val="0F1115"/>
          <w:sz w:val="21"/>
          <w:szCs w:val="21"/>
        </w:rPr>
        <w:t>; we report both. Bootstrap edge stability dates to Friedman, Goldszmidt &amp; Wyner (1999), whose stated motivation was the low-data regime, so it is standard practice rather than a contribution and cannot rescue a small sample. Colombo &amp; Maathuis (2014) show PC is order-dependent, so run-to-run SHD variance can be an implementation artefact.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sample-size evidence is unambiguous and not in our favour. Kummerfeld, Williams &amp; Ma (2023) provide the first power-analysis method for causal discovery and criticise the prior benchmark literature for failing to control effect sizes. Scheines &amp; Ramsey (2016) give concrete numbers: their grid begins at n = 100, and at that size "the accuracy of FGES decays severely" once measurement error reaches roughly 17 %, with the decay slowing only at larger n — so small n and measurement error </w:t>
      </w:r>
      <w:r w:rsidRPr="006D7620">
        <w:rPr>
          <w:rFonts w:ascii="Segoe UI" w:eastAsia="Times New Roman" w:hAnsi="Segoe UI" w:cs="Segoe UI"/>
          <w:b/>
          <w:bCs/>
          <w:color w:val="0F1115"/>
          <w:sz w:val="21"/>
          <w:szCs w:val="21"/>
        </w:rPr>
        <w:t>compound rather than substitute</w:t>
      </w:r>
      <w:r w:rsidRPr="006D7620">
        <w:rPr>
          <w:rFonts w:ascii="Segoe UI" w:eastAsia="Times New Roman" w:hAnsi="Segoe UI" w:cs="Segoe UI"/>
          <w:color w:val="0F1115"/>
          <w:sz w:val="21"/>
          <w:szCs w:val="21"/>
        </w:rPr>
        <w:t>. Every quantitative study we located begins at n = 100. We found no paper validating structure recovery at n = 15–25 and no numeric minimum n for PC at all.</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Real-data benchmarks carry their own caveats: the Sachs data's ground truth is a literature-curated consensus rather than experimentally verified edges, and its interventions are assumed perfect despite documented off-target effects (Sinha et al., 2021). CausalBench (Chevalley et al., 2023) finds that interventional methods do not outperform observational ones on real data, contrary to synthetic benchmarks — the same lesson the measurement-error literature teaches.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Two gaps emerge.</w:t>
      </w:r>
      <w:r w:rsidRPr="006D7620">
        <w:rPr>
          <w:rFonts w:ascii="Segoe UI" w:eastAsia="Times New Roman" w:hAnsi="Segoe UI" w:cs="Segoe UI"/>
          <w:color w:val="0F1115"/>
          <w:sz w:val="21"/>
          <w:szCs w:val="21"/>
        </w:rPr>
        <w:t> No paper quantifies how unstable SHD or edge stability is </w:t>
      </w:r>
      <w:r w:rsidRPr="006D7620">
        <w:rPr>
          <w:rFonts w:ascii="Segoe UI" w:eastAsia="Times New Roman" w:hAnsi="Segoe UI" w:cs="Segoe UI"/>
          <w:i/>
          <w:iCs/>
          <w:color w:val="0F1115"/>
          <w:sz w:val="21"/>
          <w:szCs w:val="21"/>
        </w:rPr>
        <w:t>as a function of n</w:t>
      </w:r>
      <w:r w:rsidRPr="006D7620">
        <w:rPr>
          <w:rFonts w:ascii="Segoe UI" w:eastAsia="Times New Roman" w:hAnsi="Segoe UI" w:cs="Segoe UI"/>
          <w:color w:val="0F1115"/>
          <w:sz w:val="21"/>
          <w:szCs w:val="21"/>
        </w:rPr>
        <w:t>, which is what our Stage 0 measures. And no paper applies information-extraction confidence to causal structure learning: the measurement-error literature propagates statistical noise; nobody propagates extraction uncertainty.</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28"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3. Methods</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3.1 Simulation calibration and power analysis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framework is characterised against known ground truth before it touches real literature. All results in this subsection come from </w:t>
      </w:r>
      <w:r w:rsidRPr="006D7620">
        <w:rPr>
          <w:rFonts w:ascii="Consolas" w:eastAsia="Times New Roman" w:hAnsi="Consolas" w:cs="Courier New"/>
          <w:color w:val="0F1115"/>
          <w:sz w:val="16"/>
          <w:szCs w:val="16"/>
          <w:shd w:val="clear" w:color="auto" w:fill="FAFAFA"/>
        </w:rPr>
        <w:t>stage0/</w:t>
      </w:r>
      <w:r w:rsidRPr="006D7620">
        <w:rPr>
          <w:rFonts w:ascii="Segoe UI" w:eastAsia="Times New Roman" w:hAnsi="Segoe UI" w:cs="Segoe UI"/>
          <w:color w:val="0F1115"/>
          <w:sz w:val="21"/>
          <w:szCs w:val="21"/>
        </w:rPr>
        <w:t>, which is reproducible from a fixed seed.</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Design.</w:t>
      </w:r>
      <w:r w:rsidRPr="006D7620">
        <w:rPr>
          <w:rFonts w:ascii="Segoe UI" w:eastAsia="Times New Roman" w:hAnsi="Segoe UI" w:cs="Segoe UI"/>
          <w:color w:val="0F1115"/>
          <w:sz w:val="21"/>
          <w:szCs w:val="21"/>
        </w:rPr>
        <w:t> Synthetic datasets are generated across a full factorial grid: sample size </w:t>
      </w:r>
      <w:r w:rsidRPr="006D7620">
        <w:rPr>
          <w:rFonts w:ascii="Segoe UI" w:eastAsia="Times New Roman" w:hAnsi="Segoe UI" w:cs="Segoe UI"/>
          <w:i/>
          <w:iCs/>
          <w:color w:val="0F1115"/>
          <w:sz w:val="21"/>
          <w:szCs w:val="21"/>
        </w:rPr>
        <w:t>n</w:t>
      </w:r>
      <w:r w:rsidRPr="006D7620">
        <w:rPr>
          <w:rFonts w:ascii="Segoe UI" w:eastAsia="Times New Roman" w:hAnsi="Segoe UI" w:cs="Segoe UI"/>
          <w:color w:val="0F1115"/>
          <w:sz w:val="21"/>
          <w:szCs w:val="21"/>
        </w:rPr>
        <w:t>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{20, 50, 100, 200, 500}; variables </w:t>
      </w:r>
      <w:r w:rsidRPr="006D7620">
        <w:rPr>
          <w:rFonts w:ascii="Segoe UI" w:eastAsia="Times New Roman" w:hAnsi="Segoe UI" w:cs="Segoe UI"/>
          <w:i/>
          <w:iCs/>
          <w:color w:val="0F1115"/>
          <w:sz w:val="21"/>
          <w:szCs w:val="21"/>
        </w:rPr>
        <w:t>d</w:t>
      </w:r>
      <w:r w:rsidRPr="006D7620">
        <w:rPr>
          <w:rFonts w:ascii="Segoe UI" w:eastAsia="Times New Roman" w:hAnsi="Segoe UI" w:cs="Segoe UI"/>
          <w:color w:val="0F1115"/>
          <w:sz w:val="21"/>
          <w:szCs w:val="21"/>
        </w:rPr>
        <w:t>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{5, 6, 8}; graph topology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{Erdős–Rényi, scale-free}; edge density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{0.2, 0.4}; standardized effect size </w:t>
      </w:r>
      <w:r w:rsidRPr="006D7620">
        <w:rPr>
          <w:rFonts w:ascii="Segoe UI" w:eastAsia="Times New Roman" w:hAnsi="Segoe UI" w:cs="Segoe UI"/>
          <w:i/>
          <w:iCs/>
          <w:color w:val="0F1115"/>
          <w:sz w:val="21"/>
          <w:szCs w:val="21"/>
        </w:rPr>
        <w:t>r</w:t>
      </w:r>
      <w:r w:rsidRPr="006D7620">
        <w:rPr>
          <w:rFonts w:ascii="Segoe UI" w:eastAsia="Times New Roman" w:hAnsi="Segoe UI" w:cs="Segoe UI"/>
          <w:color w:val="0F1115"/>
          <w:sz w:val="21"/>
          <w:szCs w:val="21"/>
        </w:rPr>
        <w:t>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{0.1, 0.3, 0.5}; extraction-error base rate </w:t>
      </w:r>
      <w:r w:rsidRPr="006D7620">
        <w:rPr>
          <w:rFonts w:ascii="Segoe UI" w:eastAsia="Times New Roman" w:hAnsi="Segoe UI" w:cs="Segoe UI"/>
          <w:i/>
          <w:iCs/>
          <w:color w:val="0F1115"/>
          <w:sz w:val="21"/>
          <w:szCs w:val="21"/>
        </w:rPr>
        <w:t>p</w:t>
      </w:r>
      <w:r w:rsidRPr="006D7620">
        <w:rPr>
          <w:rFonts w:ascii="Segoe UI" w:eastAsia="Times New Roman" w:hAnsi="Segoe UI" w:cs="Segoe UI"/>
          <w:color w:val="0F1115"/>
          <w:sz w:val="21"/>
          <w:szCs w:val="21"/>
        </w:rPr>
        <w:t>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{0, 0.05, 0.10, 0.20, 0.30}; error severity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{0.10, 0.25, 0.50}; error assignment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{ambiguity-correlated, independent, both}; and a confident-wrong rate </w:t>
      </w:r>
      <w:r w:rsidRPr="006D7620">
        <w:rPr>
          <w:rFonts w:ascii="Cambria Math" w:eastAsia="Times New Roman" w:hAnsi="Cambria Math" w:cs="Cambria Math"/>
          <w:color w:val="0F1115"/>
          <w:sz w:val="21"/>
          <w:szCs w:val="21"/>
        </w:rPr>
        <w:t>∈</w:t>
      </w:r>
      <w:r w:rsidRPr="006D7620">
        <w:rPr>
          <w:rFonts w:ascii="Segoe UI" w:eastAsia="Times New Roman" w:hAnsi="Segoe UI" w:cs="Segoe UI"/>
          <w:color w:val="0F1115"/>
          <w:sz w:val="21"/>
          <w:szCs w:val="21"/>
        </w:rPr>
        <w:t xml:space="preserve"> {0, 0.05, 0.10, 0.20}.</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Standardized structural equation models.</w:t>
      </w:r>
      <w:r w:rsidRPr="006D7620">
        <w:rPr>
          <w:rFonts w:ascii="Segoe UI" w:eastAsia="Times New Roman" w:hAnsi="Segoe UI" w:cs="Segoe UI"/>
          <w:color w:val="0F1115"/>
          <w:sz w:val="21"/>
          <w:szCs w:val="21"/>
        </w:rPr>
        <w:t> Random-weight DAG generators are varsortable: marginal variance increases along the causal order, which lets continuous learners appear to succeed by sorting variances (Reisach et al., 2021). They also leave effect sizes uncontrolled, which makes any reported SHD uninterpretable (Kummerfeld et al., 2023). We therefore adopt the standardized construction: every edge weight is set to the same value and independent noise variances are solved so that every variable has marginal variance exactly 1, making the edge weight equal to the standardized effect size and eliminating varsortability by construction. Both properties are computed and asserted at run time rather than assumed; the self test verifies that the population variances are 1 to within 1e-6 and that measured varsortability sits at chance.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Error model.</w:t>
      </w:r>
      <w:r w:rsidRPr="006D7620">
        <w:rPr>
          <w:rFonts w:ascii="Segoe UI" w:eastAsia="Times New Roman" w:hAnsi="Segoe UI" w:cs="Segoe UI"/>
          <w:color w:val="0F1115"/>
          <w:sz w:val="21"/>
          <w:szCs w:val="21"/>
        </w:rPr>
        <w:t> A latent ambiguity field </w:t>
      </w:r>
      <w:r w:rsidRPr="006D7620">
        <w:rPr>
          <w:rFonts w:ascii="Segoe UI" w:eastAsia="Times New Roman" w:hAnsi="Segoe UI" w:cs="Segoe UI"/>
          <w:i/>
          <w:iCs/>
          <w:color w:val="0F1115"/>
          <w:sz w:val="21"/>
          <w:szCs w:val="21"/>
        </w:rPr>
        <w:t>a</w:t>
      </w:r>
      <w:r w:rsidRPr="006D7620">
        <w:rPr>
          <w:rFonts w:ascii="Segoe UI" w:eastAsia="Times New Roman" w:hAnsi="Segoe UI" w:cs="Segoe UI"/>
          <w:color w:val="0F1115"/>
          <w:sz w:val="21"/>
          <w:szCs w:val="21"/>
        </w:rPr>
        <w:t> ~ Beta(2, 5) is drawn per cell, reproducing the right tail of genuinely ambiguous values that real extraction corpora exhibit. Errors are then injected through two channels: an ambiguity-linked channel where the per-cell error probability is proportional to </w:t>
      </w:r>
      <w:r w:rsidRPr="006D7620">
        <w:rPr>
          <w:rFonts w:ascii="Segoe UI" w:eastAsia="Times New Roman" w:hAnsi="Segoe UI" w:cs="Segoe UI"/>
          <w:i/>
          <w:iCs/>
          <w:color w:val="0F1115"/>
          <w:sz w:val="21"/>
          <w:szCs w:val="21"/>
        </w:rPr>
        <w:t>a</w:t>
      </w:r>
      <w:r w:rsidRPr="006D7620">
        <w:rPr>
          <w:rFonts w:ascii="Segoe UI" w:eastAsia="Times New Roman" w:hAnsi="Segoe UI" w:cs="Segoe UI"/>
          <w:color w:val="0F1115"/>
          <w:sz w:val="21"/>
          <w:szCs w:val="21"/>
        </w:rPr>
        <w:t>, and a </w:t>
      </w:r>
      <w:r w:rsidRPr="006D7620">
        <w:rPr>
          <w:rFonts w:ascii="Segoe UI" w:eastAsia="Times New Roman" w:hAnsi="Segoe UI" w:cs="Segoe UI"/>
          <w:b/>
          <w:bCs/>
          <w:color w:val="0F1115"/>
          <w:sz w:val="21"/>
          <w:szCs w:val="21"/>
        </w:rPr>
        <w:t>confident-wrong channel</w:t>
      </w:r>
      <w:r w:rsidRPr="006D7620">
        <w:rPr>
          <w:rFonts w:ascii="Segoe UI" w:eastAsia="Times New Roman" w:hAnsi="Segoe UI" w:cs="Segoe UI"/>
          <w:color w:val="0F1115"/>
          <w:sz w:val="21"/>
          <w:szCs w:val="21"/>
        </w:rPr>
        <w:t> where errors are drawn independently of ambiguity. The second channel models mode collapse, and it is the parameter that lets the simulation put a price on the failure mode of Section 2.4 rather than merely acknowledging it.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Outputs.</w:t>
      </w:r>
      <w:r w:rsidRPr="006D7620">
        <w:rPr>
          <w:rFonts w:ascii="Segoe UI" w:eastAsia="Times New Roman" w:hAnsi="Segoe UI" w:cs="Segoe UI"/>
          <w:color w:val="0F1115"/>
          <w:sz w:val="21"/>
          <w:szCs w:val="21"/>
        </w:rPr>
        <w:t> For each cell and replication we record the attainable ceiling — the correlation between the true latent ambiguity and the realised error count, which no uncertainty metric can exceed — the mean per-record causal impact, the ambiguity share of errors, and the varsortability statistic.</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Pipeline-integrity anchors.</w:t>
      </w:r>
      <w:r w:rsidRPr="006D7620">
        <w:rPr>
          <w:rFonts w:ascii="Segoe UI" w:eastAsia="Times New Roman" w:hAnsi="Segoe UI" w:cs="Segoe UI"/>
          <w:color w:val="0F1115"/>
          <w:sz w:val="21"/>
          <w:szCs w:val="21"/>
        </w:rPr>
        <w:t> Two conditions must hold before any empirical claim is made. At an error rate of zero the mean causal impact must be exactly zero; otherwise the pipeline manufactures structure from noise. With errors independent of ambiguity there must be no uncertainty–impact relationship; otherwise the headline effect is an artefact. The analysis refuses to present results if either anchor fails, and a third check verifies that the ceiling actually falls as confident-wrong errors are introduced, so that an inert error axis cannot pass unnoticed.</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Power analysis.</w:t>
      </w:r>
      <w:r w:rsidRPr="006D7620">
        <w:rPr>
          <w:rFonts w:ascii="Segoe UI" w:eastAsia="Times New Roman" w:hAnsi="Segoe UI" w:cs="Segoe UI"/>
          <w:color w:val="0F1115"/>
          <w:sz w:val="21"/>
          <w:szCs w:val="21"/>
        </w:rPr>
        <w:t> Because real per-record error counts are bounded, skewed and tie-heavy, the sample-size requirement is computed by Monte-Carlo under a Poisson error model with Spearman's correlation rather than by the Gaussian Fisher-z formula; both are reported and the empirical figure is the one that sets the corpus target.</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3.2 Corpus construction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Search and screening follow PRISMA reporting with a documented flow diagram and screening log, and the protocol was fixed before any search was run.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Domain 1 — boron-doped diamond (BDD) electrodes.</w:t>
      </w:r>
      <w:r w:rsidRPr="006D7620">
        <w:rPr>
          <w:rFonts w:ascii="Segoe UI" w:eastAsia="Times New Roman" w:hAnsi="Segoe UI" w:cs="Segoe UI"/>
          <w:color w:val="0F1115"/>
          <w:sz w:val="21"/>
          <w:szCs w:val="21"/>
        </w:rPr>
        <w:t> Structured search across Scopus and Web of Science, 2015 to the execution date, combining boron-doped diamond terms with Raman or doping-level terms and with performance or failure terms. Inclusion requires peer-reviewed articles reporting (i) Raman-derived doping or sp³/sp² information </w:t>
      </w:r>
      <w:r w:rsidRPr="006D7620">
        <w:rPr>
          <w:rFonts w:ascii="Segoe UI" w:eastAsia="Times New Roman" w:hAnsi="Segoe UI" w:cs="Segoe UI"/>
          <w:b/>
          <w:bCs/>
          <w:color w:val="0F1115"/>
          <w:sz w:val="21"/>
          <w:szCs w:val="21"/>
        </w:rPr>
        <w:t>and</w:t>
      </w:r>
      <w:r w:rsidRPr="006D7620">
        <w:rPr>
          <w:rFonts w:ascii="Segoe UI" w:eastAsia="Times New Roman" w:hAnsi="Segoe UI" w:cs="Segoe UI"/>
          <w:color w:val="0F1115"/>
          <w:sz w:val="21"/>
          <w:szCs w:val="21"/>
        </w:rPr>
        <w:t> (ii) at least one quantitative performance or failure outcome, for a named substrate. The substrate criterion is the binding constraint: the query mentioning titanium returns 128 articles against 2,372 for boron-doped diamond with "electrode", and 128 is an upper bound. The Domain 1 ceiling is therefore estimated at 60–120 records, and the conjunction rate was measured by hand before the protocol was frozen.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Domain 2 — halide perovskite solar cells.</w:t>
      </w:r>
      <w:r w:rsidRPr="006D7620">
        <w:rPr>
          <w:rFonts w:ascii="Segoe UI" w:eastAsia="Times New Roman" w:hAnsi="Segoe UI" w:cs="Segoe UI"/>
          <w:color w:val="0F1115"/>
          <w:sz w:val="21"/>
          <w:szCs w:val="21"/>
        </w:rPr>
        <w:t> Inclusion requires a device-level power conversion efficiency with at least two of {Voc, Jsc, FF} and a named absorber composition. Records are matched against the </w:t>
      </w:r>
      <w:r w:rsidRPr="006D7620">
        <w:rPr>
          <w:rFonts w:ascii="Segoe UI" w:eastAsia="Times New Roman" w:hAnsi="Segoe UI" w:cs="Segoe UI"/>
          <w:b/>
          <w:bCs/>
          <w:color w:val="0F1115"/>
          <w:sz w:val="21"/>
          <w:szCs w:val="21"/>
        </w:rPr>
        <w:t>Perovskite Database</w:t>
      </w:r>
      <w:r w:rsidRPr="006D7620">
        <w:rPr>
          <w:rFonts w:ascii="Segoe UI" w:eastAsia="Times New Roman" w:hAnsi="Segoe UI" w:cs="Segoe UI"/>
          <w:color w:val="0F1115"/>
          <w:sz w:val="21"/>
          <w:szCs w:val="21"/>
        </w:rPr>
        <w:t> (Jacobsson et al., 2022), an open FAIR-principled resource.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domain pair was chosen for a specific contrast: BDD values are substantially prose- and figure-bound, whereas perovskite performance values are overwhelmingly tabulated. Figure-bound extraction is the harder and less-benchmarked task, and this is the axis under test. Each value is tagged by provenance so that the contrast is a measured variable rather than an assertion.</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3.3 Extraction and uncertainty quantification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Model configuration.</w:t>
      </w:r>
      <w:r w:rsidRPr="006D7620">
        <w:rPr>
          <w:rFonts w:ascii="Segoe UI" w:eastAsia="Times New Roman" w:hAnsi="Segoe UI" w:cs="Segoe UI"/>
          <w:color w:val="0F1115"/>
          <w:sz w:val="21"/>
          <w:szCs w:val="21"/>
        </w:rPr>
        <w:t> Extraction uses three instruction-tuned models from independent families, with frozen weights, reported revision hashes, quantisation, temperature, top-p and token limits. Hosted models whose version changes mid-study are excluded because they make the result unreproducible. Where a backend does not expose a seed we say so rather than implying determinism.</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Prompt set.</w:t>
      </w:r>
      <w:r w:rsidRPr="006D7620">
        <w:rPr>
          <w:rFonts w:ascii="Segoe UI" w:eastAsia="Times New Roman" w:hAnsi="Segoe UI" w:cs="Segoe UI"/>
          <w:color w:val="0F1115"/>
          <w:sz w:val="21"/>
          <w:szCs w:val="21"/>
        </w:rPr>
        <w:t> Paraphrases are constructed in four stages — generation, back-translation filtering, a field-set audit at temperature 0, and a two-author semantic equivalence check — after which ten are sampled from the survivors with a recorded seed. The full candidate set and the exclusion log are released. The set is frozen before any data collection: a later wording change invalidates every uncertainty value computed before it, so there are no minor edits after extraction begins.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Signal A — paraphrase self-consistency.</w:t>
      </w:r>
      <w:r w:rsidRPr="006D7620">
        <w:rPr>
          <w:rFonts w:ascii="Segoe UI" w:eastAsia="Times New Roman" w:hAnsi="Segoe UI" w:cs="Segoe UI"/>
          <w:color w:val="0F1115"/>
          <w:sz w:val="21"/>
          <w:szCs w:val="21"/>
        </w:rPr>
        <w:t> For numeric variables, the coefficient of variation across attempts after excluding values beyond 3 × MAD from the median (MAD scaled by 1.4826 so that the rule approximates three sigma). Values whose mean is at or near zero return undefined rather than a large number, because a large CV on a near-zero mean is an artefact of the denominator. For categorical variables, </w:t>
      </w:r>
      <w:r w:rsidRPr="006D7620">
        <w:rPr>
          <w:rFonts w:ascii="Consolas" w:eastAsia="Times New Roman" w:hAnsi="Consolas" w:cs="Courier New"/>
          <w:color w:val="0F1115"/>
          <w:sz w:val="16"/>
          <w:szCs w:val="16"/>
          <w:shd w:val="clear" w:color="auto" w:fill="FAFAFA"/>
        </w:rPr>
        <w:t>(1 − p_majority) / (1 − 1/k)</w:t>
      </w:r>
      <w:r w:rsidRPr="006D7620">
        <w:rPr>
          <w:rFonts w:ascii="Segoe UI" w:eastAsia="Times New Roman" w:hAnsi="Segoe UI" w:cs="Segoe UI"/>
          <w:color w:val="0F1115"/>
          <w:sz w:val="21"/>
          <w:szCs w:val="21"/>
        </w:rPr>
        <w:t>, so that variables with different numbers of levels are comparable. The outlier exclusion rate is reported for every value: a value whose attempts scatter widely enough to trip the rule is a value the source does not pin down, which is this study's own evidence for its second research gap.</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Signal B — token entropy.</w:t>
      </w:r>
      <w:r w:rsidRPr="006D7620">
        <w:rPr>
          <w:rFonts w:ascii="Segoe UI" w:eastAsia="Times New Roman" w:hAnsi="Segoe UI" w:cs="Segoe UI"/>
          <w:color w:val="0F1115"/>
          <w:sz w:val="21"/>
          <w:szCs w:val="21"/>
        </w:rPr>
        <w:t> Mean token entropy over the extracted span, normalised by span length, since raw entropy grows with length and would otherwise conflate a long answer with an uncertain one.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Signal C — cross-model epistemic term.</w:t>
      </w:r>
      <w:r w:rsidRPr="006D7620">
        <w:rPr>
          <w:rFonts w:ascii="Segoe UI" w:eastAsia="Times New Roman" w:hAnsi="Segoe UI" w:cs="Segoe UI"/>
          <w:color w:val="0F1115"/>
          <w:sz w:val="21"/>
          <w:szCs w:val="21"/>
        </w:rPr>
        <w:t> Following Hamidieh et al. (2026), the gap between a model's agreement with itself and its agreement with its peers, computed from the same sequence-similarity metric for both so that the two terms share a scale. The sign convention is load-bearing: the term must be large when intra-model agreement is high and inter-model agreement is low, which is the signature of a model that is confidently and consistently wrong while its peers disagree.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Composite and calibration.</w:t>
      </w:r>
      <w:r w:rsidRPr="006D7620">
        <w:rPr>
          <w:rFonts w:ascii="Segoe UI" w:eastAsia="Times New Roman" w:hAnsi="Segoe UI" w:cs="Segoe UI"/>
          <w:color w:val="0F1115"/>
          <w:sz w:val="21"/>
          <w:szCs w:val="21"/>
        </w:rPr>
        <w:t> The composite is a weighted mean over available signals with weights renormalised to the signals present, and the number of contributing signals is recorded so that a value resting on one signal is never presented as though it rested on three. Calibration uses </w:t>
      </w:r>
      <w:r w:rsidRPr="006D7620">
        <w:rPr>
          <w:rFonts w:ascii="Segoe UI" w:eastAsia="Times New Roman" w:hAnsi="Segoe UI" w:cs="Segoe UI"/>
          <w:b/>
          <w:bCs/>
          <w:color w:val="0F1115"/>
          <w:sz w:val="21"/>
          <w:szCs w:val="21"/>
        </w:rPr>
        <w:t>split conformal prediction</w:t>
      </w:r>
      <w:r w:rsidRPr="006D7620">
        <w:rPr>
          <w:rFonts w:ascii="Segoe UI" w:eastAsia="Times New Roman" w:hAnsi="Segoe UI" w:cs="Segoe UI"/>
          <w:color w:val="0F1115"/>
          <w:sz w:val="21"/>
          <w:szCs w:val="21"/>
        </w:rPr>
        <w:t> on the gold-standard subset with a finite-sample quantile correction, and isotonic regression as a comparison; both are cross-fitted so the composite is never scored on the data that fitted it. Reliability diagrams and empirical coverage at nominal 90 % and 95 % are reported. The pre-registered response to miscalibration — empirical coverage more than five points below nominal — is to promote Signal B to primary and report the miscalibration as a result.</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3.4 Gold standards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BDD — hand annotation.</w:t>
      </w:r>
      <w:r w:rsidRPr="006D7620">
        <w:rPr>
          <w:rFonts w:ascii="Segoe UI" w:eastAsia="Times New Roman" w:hAnsi="Segoe UI" w:cs="Segoe UI"/>
          <w:color w:val="0F1115"/>
          <w:sz w:val="21"/>
          <w:szCs w:val="21"/>
        </w:rPr>
        <w:t> 150–200 values, sampled </w:t>
      </w:r>
      <w:r w:rsidRPr="006D7620">
        <w:rPr>
          <w:rFonts w:ascii="Segoe UI" w:eastAsia="Times New Roman" w:hAnsi="Segoe UI" w:cs="Segoe UI"/>
          <w:b/>
          <w:bCs/>
          <w:color w:val="0F1115"/>
          <w:sz w:val="21"/>
          <w:szCs w:val="21"/>
        </w:rPr>
        <w:t>stratified rather than randomly</w:t>
      </w:r>
      <w:r w:rsidRPr="006D7620">
        <w:rPr>
          <w:rFonts w:ascii="Segoe UI" w:eastAsia="Times New Roman" w:hAnsi="Segoe UI" w:cs="Segoe UI"/>
          <w:color w:val="0F1115"/>
          <w:sz w:val="21"/>
          <w:szCs w:val="21"/>
        </w:rPr>
        <w:t>: 35 % high composite uncertainty, 35 % low, 20 % prose-embedded, 10 % range or series values. Stratifying deliberately oversamples high-uncertainty values, which biases the marginal error rate upward; that is acceptable because the gold standard estimates the </w:t>
      </w:r>
      <w:r w:rsidRPr="006D7620">
        <w:rPr>
          <w:rFonts w:ascii="Segoe UI" w:eastAsia="Times New Roman" w:hAnsi="Segoe UI" w:cs="Segoe UI"/>
          <w:i/>
          <w:iCs/>
          <w:color w:val="0F1115"/>
          <w:sz w:val="21"/>
          <w:szCs w:val="21"/>
        </w:rPr>
        <w:t>relationship</w:t>
      </w:r>
      <w:r w:rsidRPr="006D7620">
        <w:rPr>
          <w:rFonts w:ascii="Segoe UI" w:eastAsia="Times New Roman" w:hAnsi="Segoe UI" w:cs="Segoe UI"/>
          <w:color w:val="0F1115"/>
          <w:sz w:val="21"/>
          <w:szCs w:val="21"/>
        </w:rPr>
        <w:t> between uncertainty and error, not the marginal rate, and the marginal rate is reported separately from the full corpus. Fixing this in advance is what prevents the bias from becoming a silent one.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Correctness requires the right value, the right unit after normalisation, the right variable, and — for ranges — that the range was not silently collapsed. The error taxonomy separates </w:t>
      </w:r>
      <w:r w:rsidRPr="006D7620">
        <w:rPr>
          <w:rFonts w:ascii="Consolas" w:eastAsia="Times New Roman" w:hAnsi="Consolas" w:cs="Courier New"/>
          <w:color w:val="0F1115"/>
          <w:sz w:val="16"/>
          <w:szCs w:val="16"/>
          <w:shd w:val="clear" w:color="auto" w:fill="FAFAFA"/>
        </w:rPr>
        <w:t>ambiguous_source</w:t>
      </w:r>
      <w:r w:rsidRPr="006D7620">
        <w:rPr>
          <w:rFonts w:ascii="Segoe UI" w:eastAsia="Times New Roman" w:hAnsi="Segoe UI" w:cs="Segoe UI"/>
          <w:color w:val="0F1115"/>
          <w:sz w:val="21"/>
          <w:szCs w:val="21"/>
        </w:rPr>
        <w:t>, where the paper genuinely does not pin the value down, from </w:t>
      </w:r>
      <w:r w:rsidRPr="006D7620">
        <w:rPr>
          <w:rFonts w:ascii="Consolas" w:eastAsia="Times New Roman" w:hAnsi="Consolas" w:cs="Courier New"/>
          <w:color w:val="0F1115"/>
          <w:sz w:val="16"/>
          <w:szCs w:val="16"/>
          <w:shd w:val="clear" w:color="auto" w:fill="FAFAFA"/>
        </w:rPr>
        <w:t>hallucinated</w:t>
      </w:r>
      <w:r w:rsidRPr="006D7620">
        <w:rPr>
          <w:rFonts w:ascii="Segoe UI" w:eastAsia="Times New Roman" w:hAnsi="Segoe UI" w:cs="Segoe UI"/>
          <w:color w:val="0F1115"/>
          <w:sz w:val="21"/>
          <w:szCs w:val="21"/>
        </w:rPr>
        <w:t> and </w:t>
      </w:r>
      <w:r w:rsidRPr="006D7620">
        <w:rPr>
          <w:rFonts w:ascii="Consolas" w:eastAsia="Times New Roman" w:hAnsi="Consolas" w:cs="Courier New"/>
          <w:color w:val="0F1115"/>
          <w:sz w:val="16"/>
          <w:szCs w:val="16"/>
          <w:shd w:val="clear" w:color="auto" w:fill="FAFAFA"/>
        </w:rPr>
        <w:t>wrong_value</w:t>
      </w:r>
      <w:r w:rsidRPr="006D7620">
        <w:rPr>
          <w:rFonts w:ascii="Segoe UI" w:eastAsia="Times New Roman" w:hAnsi="Segoe UI" w:cs="Segoe UI"/>
          <w:color w:val="0F1115"/>
          <w:sz w:val="21"/>
          <w:szCs w:val="21"/>
        </w:rPr>
        <w:t>, where the paper is clear and the extractor failed. This distinction is what makes the aleatoric-versus-epistemic result in Section 4 possible; collapsing it to a binary flag would destroy that result.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A second annotator codes a random 25 % of values </w:t>
      </w:r>
      <w:r w:rsidRPr="006D7620">
        <w:rPr>
          <w:rFonts w:ascii="Segoe UI" w:eastAsia="Times New Roman" w:hAnsi="Segoe UI" w:cs="Segoe UI"/>
          <w:b/>
          <w:bCs/>
          <w:color w:val="0F1115"/>
          <w:sz w:val="21"/>
          <w:szCs w:val="21"/>
        </w:rPr>
        <w:t>blinded to the model's uncertainty and to the other annotator's decision</w:t>
      </w:r>
      <w:r w:rsidRPr="006D7620">
        <w:rPr>
          <w:rFonts w:ascii="Segoe UI" w:eastAsia="Times New Roman" w:hAnsi="Segoe UI" w:cs="Segoe UI"/>
          <w:color w:val="0F1115"/>
          <w:sz w:val="21"/>
          <w:szCs w:val="21"/>
        </w:rPr>
        <w:t>, and Cohen's κ is reported separately for the binary decision and the error-type label, with a target of 0.70 and codebook revision on failure. Blinding is not optional: an annotator who can see that the metric flagged a value as uncertain will tend to find it ambiguous, manufacturing the correlation the study is testing.</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Perovskite — external validation.</w:t>
      </w:r>
      <w:r w:rsidRPr="006D7620">
        <w:rPr>
          <w:rFonts w:ascii="Segoe UI" w:eastAsia="Times New Roman" w:hAnsi="Segoe UI" w:cs="Segoe UI"/>
          <w:color w:val="0F1115"/>
          <w:sz w:val="21"/>
          <w:szCs w:val="21"/>
        </w:rPr>
        <w:t> Records are matched to the Perovskite Database on DOI and composition, falling back to composition plus reported efficiency, with </w:t>
      </w:r>
      <w:r w:rsidRPr="006D7620">
        <w:rPr>
          <w:rFonts w:ascii="Consolas" w:eastAsia="Times New Roman" w:hAnsi="Consolas" w:cs="Courier New"/>
          <w:color w:val="0F1115"/>
          <w:sz w:val="16"/>
          <w:szCs w:val="16"/>
          <w:shd w:val="clear" w:color="auto" w:fill="FAFAFA"/>
        </w:rPr>
        <w:t>match_method</w:t>
      </w:r>
      <w:r w:rsidRPr="006D7620">
        <w:rPr>
          <w:rFonts w:ascii="Segoe UI" w:eastAsia="Times New Roman" w:hAnsi="Segoe UI" w:cs="Segoe UI"/>
          <w:color w:val="0F1115"/>
          <w:sz w:val="21"/>
          <w:szCs w:val="21"/>
        </w:rPr>
        <w:t>, </w:t>
      </w:r>
      <w:r w:rsidRPr="006D7620">
        <w:rPr>
          <w:rFonts w:ascii="Consolas" w:eastAsia="Times New Roman" w:hAnsi="Consolas" w:cs="Courier New"/>
          <w:color w:val="0F1115"/>
          <w:sz w:val="16"/>
          <w:szCs w:val="16"/>
          <w:shd w:val="clear" w:color="auto" w:fill="FAFAFA"/>
        </w:rPr>
        <w:t>match_confidence</w:t>
      </w:r>
      <w:r w:rsidRPr="006D7620">
        <w:rPr>
          <w:rFonts w:ascii="Segoe UI" w:eastAsia="Times New Roman" w:hAnsi="Segoe UI" w:cs="Segoe UI"/>
          <w:color w:val="0F1115"/>
          <w:sz w:val="21"/>
          <w:szCs w:val="21"/>
        </w:rPr>
        <w:t> and </w:t>
      </w:r>
      <w:r w:rsidRPr="006D7620">
        <w:rPr>
          <w:rFonts w:ascii="Consolas" w:eastAsia="Times New Roman" w:hAnsi="Consolas" w:cs="Courier New"/>
          <w:color w:val="0F1115"/>
          <w:sz w:val="16"/>
          <w:szCs w:val="16"/>
          <w:shd w:val="clear" w:color="auto" w:fill="FAFAFA"/>
        </w:rPr>
        <w:t>candidate_count</w:t>
      </w:r>
      <w:r w:rsidRPr="006D7620">
        <w:rPr>
          <w:rFonts w:ascii="Segoe UI" w:eastAsia="Times New Roman" w:hAnsi="Segoe UI" w:cs="Segoe UI"/>
          <w:color w:val="0F1115"/>
          <w:sz w:val="21"/>
          <w:szCs w:val="21"/>
        </w:rPr>
        <w:t> recorded for every record and a random sample of 30 matches hand-verified before the pipeline runs. With an external gold standard the matching step, not the extraction, is where validation can silently fail, so unmatched and ambiguous rates are reported as headline numbers. Where a database value disagrees with the source paper, the paper governs and the disagreement is logged. The database's own curation error rate is unknown and is stated as a floor on the measured perovskite accuracy.</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The two domains are never pooled into a single accuracy figure.</w:t>
      </w:r>
      <w:r w:rsidRPr="006D7620">
        <w:rPr>
          <w:rFonts w:ascii="Segoe UI" w:eastAsia="Times New Roman" w:hAnsi="Segoe UI" w:cs="Segoe UI"/>
          <w:color w:val="0F1115"/>
          <w:sz w:val="21"/>
          <w:szCs w:val="21"/>
        </w:rPr>
        <w:t> They are measured against different procedures, and averaging them would report the mean of two incompatible quantities.</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3.5 Causal analysis and the causal impact criterion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Structure learning.</w:t>
      </w:r>
      <w:r w:rsidRPr="006D7620">
        <w:rPr>
          <w:rFonts w:ascii="Segoe UI" w:eastAsia="Times New Roman" w:hAnsi="Segoe UI" w:cs="Segoe UI"/>
          <w:color w:val="0F1115"/>
          <w:sz w:val="21"/>
          <w:szCs w:val="21"/>
        </w:rPr>
        <w:t> Variables are restricted by domain knowledge to 5–8 per domain, and three algorithms are run — PC, GES, and a continuous score-based method — so that any conclusion depending on a single algorithm can be identified. Both SHD and SID are reported.</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Per-record causal impact.</w:t>
      </w:r>
      <w:r w:rsidRPr="006D7620">
        <w:rPr>
          <w:rFonts w:ascii="Segoe UI" w:eastAsia="Times New Roman" w:hAnsi="Segoe UI" w:cs="Segoe UI"/>
          <w:color w:val="0F1115"/>
          <w:sz w:val="21"/>
          <w:szCs w:val="21"/>
        </w:rPr>
        <w:t> For each record </w:t>
      </w:r>
      <w:r w:rsidRPr="006D7620">
        <w:rPr>
          <w:rFonts w:ascii="Segoe UI" w:eastAsia="Times New Roman" w:hAnsi="Segoe UI" w:cs="Segoe UI"/>
          <w:i/>
          <w:iCs/>
          <w:color w:val="0F1115"/>
          <w:sz w:val="21"/>
          <w:szCs w:val="21"/>
        </w:rPr>
        <w:t>i</w:t>
      </w:r>
      <w:r w:rsidRPr="006D7620">
        <w:rPr>
          <w:rFonts w:ascii="Segoe UI" w:eastAsia="Times New Roman" w:hAnsi="Segoe UI" w:cs="Segoe UI"/>
          <w:color w:val="0F1115"/>
          <w:sz w:val="21"/>
          <w:szCs w:val="21"/>
        </w:rPr>
        <w:t>, we correct that record alone, relearn the structure, and record </w:t>
      </w:r>
      <w:r w:rsidRPr="006D7620">
        <w:rPr>
          <w:rFonts w:ascii="Consolas" w:eastAsia="Times New Roman" w:hAnsi="Consolas" w:cs="Courier New"/>
          <w:color w:val="0F1115"/>
          <w:sz w:val="16"/>
          <w:szCs w:val="16"/>
          <w:shd w:val="clear" w:color="auto" w:fill="FAFAFA"/>
        </w:rPr>
        <w:t>CI_i = SHD(G, G_i)</w:t>
      </w:r>
      <w:r w:rsidRPr="006D7620">
        <w:rPr>
          <w:rFonts w:ascii="Segoe UI" w:eastAsia="Times New Roman" w:hAnsi="Segoe UI" w:cs="Segoe UI"/>
          <w:color w:val="0F1115"/>
          <w:sz w:val="21"/>
          <w:szCs w:val="21"/>
        </w:rPr>
        <w:t>, where </w:t>
      </w:r>
      <w:r w:rsidRPr="006D7620">
        <w:rPr>
          <w:rFonts w:ascii="Segoe UI" w:eastAsia="Times New Roman" w:hAnsi="Segoe UI" w:cs="Segoe UI"/>
          <w:i/>
          <w:iCs/>
          <w:color w:val="0F1115"/>
          <w:sz w:val="21"/>
          <w:szCs w:val="21"/>
        </w:rPr>
        <w:t>G</w:t>
      </w:r>
      <w:r w:rsidRPr="006D7620">
        <w:rPr>
          <w:rFonts w:ascii="Segoe UI" w:eastAsia="Times New Roman" w:hAnsi="Segoe UI" w:cs="Segoe UI"/>
          <w:color w:val="0F1115"/>
          <w:sz w:val="21"/>
          <w:szCs w:val="21"/>
        </w:rPr>
        <w:t> is the graph learned from the uncorrected data. This is the central methodological device: it converts a single per-corpus quality number into </w:t>
      </w:r>
      <w:r w:rsidRPr="006D7620">
        <w:rPr>
          <w:rFonts w:ascii="Segoe UI" w:eastAsia="Times New Roman" w:hAnsi="Segoe UI" w:cs="Segoe UI"/>
          <w:i/>
          <w:iCs/>
          <w:color w:val="0F1115"/>
          <w:sz w:val="21"/>
          <w:szCs w:val="21"/>
        </w:rPr>
        <w:t>n</w:t>
      </w:r>
      <w:r w:rsidRPr="006D7620">
        <w:rPr>
          <w:rFonts w:ascii="Segoe UI" w:eastAsia="Times New Roman" w:hAnsi="Segoe UI" w:cs="Segoe UI"/>
          <w:color w:val="0F1115"/>
          <w:sz w:val="21"/>
          <w:szCs w:val="21"/>
        </w:rPr>
        <w:t> observations, which is what gives the uncertainty–impact hypothesis any statistical power. A single global SHD cannot be correlated with anything.</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Uncertainty propagation.</w:t>
      </w:r>
      <w:r w:rsidRPr="006D7620">
        <w:rPr>
          <w:rFonts w:ascii="Segoe UI" w:eastAsia="Times New Roman" w:hAnsi="Segoe UI" w:cs="Segoe UI"/>
          <w:color w:val="0F1115"/>
          <w:sz w:val="21"/>
          <w:szCs w:val="21"/>
        </w:rPr>
        <w:t> Confidence-weighted bootstrap resampling, </w:t>
      </w:r>
      <w:r w:rsidRPr="006D7620">
        <w:rPr>
          <w:rFonts w:ascii="Consolas" w:eastAsia="Times New Roman" w:hAnsi="Consolas" w:cs="Courier New"/>
          <w:color w:val="0F1115"/>
          <w:sz w:val="16"/>
          <w:szCs w:val="16"/>
          <w:shd w:val="clear" w:color="auto" w:fill="FAFAFA"/>
        </w:rPr>
        <w:t>w_i = g(U_i)</w:t>
      </w:r>
      <w:r w:rsidRPr="006D7620">
        <w:rPr>
          <w:rFonts w:ascii="Segoe UI" w:eastAsia="Times New Roman" w:hAnsi="Segoe UI" w:cs="Segoe UI"/>
          <w:color w:val="0F1115"/>
          <w:sz w:val="21"/>
          <w:szCs w:val="21"/>
        </w:rPr>
        <w:t>, with the linear and rank-based forms tested as a formal sensitivity analysis reported as a table rather than a paragraph. The decisive comparison is against </w:t>
      </w:r>
      <w:r w:rsidRPr="006D7620">
        <w:rPr>
          <w:rFonts w:ascii="Segoe UI" w:eastAsia="Times New Roman" w:hAnsi="Segoe UI" w:cs="Segoe UI"/>
          <w:b/>
          <w:bCs/>
          <w:color w:val="0F1115"/>
          <w:sz w:val="21"/>
          <w:szCs w:val="21"/>
        </w:rPr>
        <w:t>uniform weights</w:t>
      </w:r>
      <w:r w:rsidRPr="006D7620">
        <w:rPr>
          <w:rFonts w:ascii="Segoe UI" w:eastAsia="Times New Roman" w:hAnsi="Segoe UI" w:cs="Segoe UI"/>
          <w:color w:val="0F1115"/>
          <w:sz w:val="21"/>
          <w:szCs w:val="21"/>
        </w:rPr>
        <w:t>: if uncertainty-weighted and uniform-weighted resampling produce indistinguishable structures, the paper's practical recommendation inverts, and that is a publishable outcome under our second hypothesis.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Edge stability.</w:t>
      </w:r>
      <w:r w:rsidRPr="006D7620">
        <w:rPr>
          <w:rFonts w:ascii="Segoe UI" w:eastAsia="Times New Roman" w:hAnsi="Segoe UI" w:cs="Segoe UI"/>
          <w:color w:val="0F1115"/>
          <w:sz w:val="21"/>
          <w:szCs w:val="21"/>
        </w:rPr>
        <w:t> Bootstrap appearance frequency per edge, with the association between per-record uncertainty and per-edge stability reported with cluster-bootstrapped confidence intervals. Edge stability is reported as established practice, not as a contribution.</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3.6 Null and adversarial tests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Four controls separate a real effect from an artefact.</w:t>
      </w:r>
    </w:p>
    <w:p w:rsidR="006D7620" w:rsidRPr="006D7620" w:rsidRDefault="006D7620" w:rsidP="006D7620">
      <w:pPr>
        <w:numPr>
          <w:ilvl w:val="0"/>
          <w:numId w:val="2"/>
        </w:numPr>
        <w:shd w:val="clear" w:color="auto" w:fill="FFFFFF"/>
        <w:spacing w:beforeAutospacing="1"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Label shuffling.</w:t>
      </w:r>
      <w:r w:rsidRPr="006D7620">
        <w:rPr>
          <w:rFonts w:ascii="Segoe UI" w:eastAsia="Times New Roman" w:hAnsi="Segoe UI" w:cs="Segoe UI"/>
          <w:color w:val="0F1115"/>
          <w:sz w:val="21"/>
          <w:szCs w:val="21"/>
        </w:rPr>
        <w:t> Uncertainty values are permuted across records and the pipeline re-run. A correlation of similar magnitude to the observed one indicates the effect is a property of the pipeline, not of the uncertainty.</w:t>
      </w:r>
    </w:p>
    <w:p w:rsidR="006D7620" w:rsidRPr="006D7620" w:rsidRDefault="006D7620" w:rsidP="006D7620">
      <w:pPr>
        <w:numPr>
          <w:ilvl w:val="0"/>
          <w:numId w:val="2"/>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High-versus-low correction contrast.</w:t>
      </w:r>
      <w:r w:rsidRPr="006D7620">
        <w:rPr>
          <w:rFonts w:ascii="Segoe UI" w:eastAsia="Times New Roman" w:hAnsi="Segoe UI" w:cs="Segoe UI"/>
          <w:color w:val="0F1115"/>
          <w:sz w:val="21"/>
          <w:szCs w:val="21"/>
        </w:rPr>
        <w:t> Correcting high-uncertainty records must change the graph more than correcting low-uncertainty records. This is the strongest single piece of evidence available, because it depends on no model of how uncertainty is generated.</w:t>
      </w:r>
    </w:p>
    <w:p w:rsidR="006D7620" w:rsidRPr="006D7620" w:rsidRDefault="006D7620" w:rsidP="006D7620">
      <w:pPr>
        <w:numPr>
          <w:ilvl w:val="0"/>
          <w:numId w:val="2"/>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Cross-domain weight transfer.</w:t>
      </w:r>
      <w:r w:rsidRPr="006D7620">
        <w:rPr>
          <w:rFonts w:ascii="Segoe UI" w:eastAsia="Times New Roman" w:hAnsi="Segoe UI" w:cs="Segoe UI"/>
          <w:color w:val="0F1115"/>
          <w:sz w:val="21"/>
          <w:szCs w:val="21"/>
        </w:rPr>
        <w:t> Weights estimated in one domain are applied to the other's data; a neutral result indicates the weighting scheme carries no domain-specific information.</w:t>
      </w:r>
    </w:p>
    <w:p w:rsidR="006D7620" w:rsidRPr="006D7620" w:rsidRDefault="006D7620" w:rsidP="006D7620">
      <w:pPr>
        <w:numPr>
          <w:ilvl w:val="0"/>
          <w:numId w:val="2"/>
        </w:numPr>
        <w:shd w:val="clear" w:color="auto" w:fill="FFFFFF"/>
        <w:spacing w:after="0" w:afterAutospacing="1" w:line="240" w:lineRule="auto"/>
        <w:ind w:left="0"/>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Mode-collapse diagnostic.</w:t>
      </w:r>
      <w:r w:rsidRPr="006D7620">
        <w:rPr>
          <w:rFonts w:ascii="Segoe UI" w:eastAsia="Times New Roman" w:hAnsi="Segoe UI" w:cs="Segoe UI"/>
          <w:color w:val="0F1115"/>
          <w:sz w:val="21"/>
          <w:szCs w:val="21"/>
        </w:rPr>
        <w:t> Among gold-standard-incorrect values we report the share produced with dispersion at or near zero, and whether the cross-model term flagged them. This is the most direct available check on the measurement assumption itself. The pre-registered reading: above 30 % collapsed means dispersion alone is not a sufficient instrument for extraction; below 10 %, with the cross-model term catching most cases, supports the multi-signal design.</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3.7 Statistical analysis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Effect sizes are reported with 95 % confidence intervals. </w:t>
      </w:r>
      <w:r w:rsidRPr="006D7620">
        <w:rPr>
          <w:rFonts w:ascii="Segoe UI" w:eastAsia="Times New Roman" w:hAnsi="Segoe UI" w:cs="Segoe UI"/>
          <w:b/>
          <w:bCs/>
          <w:color w:val="0F1115"/>
          <w:sz w:val="21"/>
          <w:szCs w:val="21"/>
        </w:rPr>
        <w:t>All confidence intervals resample papers, not values</w:t>
      </w:r>
      <w:r w:rsidRPr="006D7620">
        <w:rPr>
          <w:rFonts w:ascii="Segoe UI" w:eastAsia="Times New Roman" w:hAnsi="Segoe UI" w:cs="Segoe UI"/>
          <w:color w:val="0F1115"/>
          <w:sz w:val="21"/>
          <w:szCs w:val="21"/>
        </w:rPr>
        <w:t>: values within a paper share a document, a prompt set and often a single table, so their errors are correlated, and resampling values would produce intervals that are too narrow. The implementation refuses to return an interval from fewer than three papers rather than fabricating one. Multiplicity across the hypothesis family is controlled by Holm–Benjamini–Hochberg. Minimum detectable effect and minimum viable corpus size are fixed by the power analysis before any literature is screened, and any deviation is reported as such.</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29"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4. Results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Pending.</w:t>
      </w:r>
      <w:r w:rsidRPr="006D7620">
        <w:rPr>
          <w:rFonts w:ascii="Segoe UI" w:eastAsia="Times New Roman" w:hAnsi="Segoe UI" w:cs="Segoe UI"/>
          <w:color w:val="0F1115"/>
          <w:sz w:val="21"/>
          <w:szCs w:val="21"/>
        </w:rPr>
        <w:t> Each subsection below names the artifact that will populate it. Results are reported in this order because each depends on the previous one being sound: if the calibration fails, the empirical numbers are not interpretable, and the paper says so rather than reporting them anyway.</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4.1 Pipeline integrity</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stage0/analysis.py</w:t>
      </w:r>
      <w:r w:rsidRPr="006D7620">
        <w:rPr>
          <w:rFonts w:ascii="Segoe UI" w:eastAsia="Times New Roman" w:hAnsi="Segoe UI" w:cs="Segoe UI"/>
          <w:color w:val="0F1115"/>
          <w:sz w:val="21"/>
          <w:szCs w:val="21"/>
        </w:rPr>
        <w:t> integrity anchors. Both must pass before Section 4.3 is reported.</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4.2 Attainable ceiling and the cost of mode collapse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stage0/analysis.py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attainable_ceiling</w:t>
      </w:r>
      <w:r w:rsidRPr="006D7620">
        <w:rPr>
          <w:rFonts w:ascii="Segoe UI" w:eastAsia="Times New Roman" w:hAnsi="Segoe UI" w:cs="Segoe UI"/>
          <w:color w:val="0F1115"/>
          <w:sz w:val="21"/>
          <w:szCs w:val="21"/>
        </w:rPr>
        <w:t>, </w:t>
      </w:r>
      <w:r w:rsidRPr="006D7620">
        <w:rPr>
          <w:rFonts w:ascii="Consolas" w:eastAsia="Times New Roman" w:hAnsi="Consolas" w:cs="Courier New"/>
          <w:color w:val="0F1115"/>
          <w:sz w:val="16"/>
          <w:szCs w:val="16"/>
          <w:shd w:val="clear" w:color="auto" w:fill="FAFAFA"/>
        </w:rPr>
        <w:t>mode_collapse_section</w:t>
      </w:r>
      <w:r w:rsidRPr="006D7620">
        <w:rPr>
          <w:rFonts w:ascii="Segoe UI" w:eastAsia="Times New Roman" w:hAnsi="Segoe UI" w:cs="Segoe UI"/>
          <w:color w:val="0F1115"/>
          <w:sz w:val="21"/>
          <w:szCs w:val="21"/>
        </w:rPr>
        <w:t>. The ceiling as a function of sample size and error rate; the fall in ceiling as confident-wrong errors are introduced; the measured ambiguity share of errors.</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4.3 Ground-truth causal impact curve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stage0/analysis.py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impact_curve</w:t>
      </w:r>
      <w:r w:rsidRPr="006D7620">
        <w:rPr>
          <w:rFonts w:ascii="Segoe UI" w:eastAsia="Times New Roman" w:hAnsi="Segoe UI" w:cs="Segoe UI"/>
          <w:color w:val="0F1115"/>
          <w:sz w:val="21"/>
          <w:szCs w:val="21"/>
        </w:rPr>
        <w:t>. Mean per-record SHD against injected error rate, by effect size.</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4.4 Power analysis and the corpus decision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stage0/analysis.py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power_section</w:t>
      </w:r>
      <w:r w:rsidRPr="006D7620">
        <w:rPr>
          <w:rFonts w:ascii="Segoe UI" w:eastAsia="Times New Roman" w:hAnsi="Segoe UI" w:cs="Segoe UI"/>
          <w:color w:val="0F1115"/>
          <w:sz w:val="21"/>
          <w:szCs w:val="21"/>
        </w:rPr>
        <w:t>. Minimum n per effect size, and the resulting corpus target.</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4.5 Corpus and extraction quality</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analysis/empirical.py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flatten_records</w:t>
      </w:r>
      <w:r w:rsidRPr="006D7620">
        <w:rPr>
          <w:rFonts w:ascii="Segoe UI" w:eastAsia="Times New Roman" w:hAnsi="Segoe UI" w:cs="Segoe UI"/>
          <w:color w:val="0F1115"/>
          <w:sz w:val="21"/>
          <w:szCs w:val="21"/>
        </w:rPr>
        <w:t>, </w:t>
      </w:r>
      <w:r w:rsidRPr="006D7620">
        <w:rPr>
          <w:rFonts w:ascii="Consolas" w:eastAsia="Times New Roman" w:hAnsi="Consolas" w:cs="Courier New"/>
          <w:color w:val="0F1115"/>
          <w:sz w:val="16"/>
          <w:szCs w:val="16"/>
          <w:shd w:val="clear" w:color="auto" w:fill="FAFAFA"/>
        </w:rPr>
        <w:t>exclusion_rate_report</w:t>
      </w:r>
      <w:r w:rsidRPr="006D7620">
        <w:rPr>
          <w:rFonts w:ascii="Segoe UI" w:eastAsia="Times New Roman" w:hAnsi="Segoe UI" w:cs="Segoe UI"/>
          <w:color w:val="0F1115"/>
          <w:sz w:val="21"/>
          <w:szCs w:val="21"/>
        </w:rPr>
        <w:t>, plus the PRISMA flow. Includes the Domain 1 conjunction rate, the perovskite matching and ambiguous rates, and κ for the dual annotation.</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4.6 Validity of the uncertainty metric (RQ2)</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analysis/empirical.py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rq2_uncertainty_vs_error</w:t>
      </w:r>
      <w:r w:rsidRPr="006D7620">
        <w:rPr>
          <w:rFonts w:ascii="Segoe UI" w:eastAsia="Times New Roman" w:hAnsi="Segoe UI" w:cs="Segoe UI"/>
          <w:color w:val="0F1115"/>
          <w:sz w:val="21"/>
          <w:szCs w:val="21"/>
        </w:rPr>
        <w:t>. AUC with cluster-bootstrapped CI; correlation with error; and the aleatoric-versus-epistemic separation, which is where the substantive finding about what the metric measures will appear.</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4.7 Conformal calibration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extraction/uncertainty.py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SplitConformalCalibrator.evaluate</w:t>
      </w:r>
      <w:r w:rsidRPr="006D7620">
        <w:rPr>
          <w:rFonts w:ascii="Segoe UI" w:eastAsia="Times New Roman" w:hAnsi="Segoe UI" w:cs="Segoe UI"/>
          <w:color w:val="0F1115"/>
          <w:sz w:val="21"/>
          <w:szCs w:val="21"/>
        </w:rPr>
        <w:t>, </w:t>
      </w:r>
      <w:r w:rsidRPr="006D7620">
        <w:rPr>
          <w:rFonts w:ascii="Consolas" w:eastAsia="Times New Roman" w:hAnsi="Consolas" w:cs="Courier New"/>
          <w:color w:val="0F1115"/>
          <w:sz w:val="16"/>
          <w:szCs w:val="16"/>
          <w:shd w:val="clear" w:color="auto" w:fill="FAFAFA"/>
        </w:rPr>
        <w:t>reliability_bins</w:t>
      </w:r>
      <w:r w:rsidRPr="006D7620">
        <w:rPr>
          <w:rFonts w:ascii="Segoe UI" w:eastAsia="Times New Roman" w:hAnsi="Segoe UI" w:cs="Segoe UI"/>
          <w:color w:val="0F1115"/>
          <w:sz w:val="21"/>
          <w:szCs w:val="21"/>
        </w:rPr>
        <w:t>. Empirical coverage against nominal, and the reliability diagram.</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4.8 Mode collapse in real data (RQ8)</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analysis/empirical.py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rq8_mode_collapse</w:t>
      </w:r>
      <w:r w:rsidRPr="006D7620">
        <w:rPr>
          <w:rFonts w:ascii="Segoe UI" w:eastAsia="Times New Roman" w:hAnsi="Segoe UI" w:cs="Segoe UI"/>
          <w:color w:val="0F1115"/>
          <w:sz w:val="21"/>
          <w:szCs w:val="21"/>
        </w:rPr>
        <w:t>. Collapsed share, restricted to epistemic errors, and the cross-model catch rate.</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4.9 Causal impact and propagation (RQ4, RQ5)</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stage0/impact.py</w:t>
      </w:r>
      <w:r w:rsidRPr="006D7620">
        <w:rPr>
          <w:rFonts w:ascii="Segoe UI" w:eastAsia="Times New Roman" w:hAnsi="Segoe UI" w:cs="Segoe UI"/>
          <w:color w:val="0F1115"/>
          <w:sz w:val="21"/>
          <w:szCs w:val="21"/>
        </w:rPr>
        <w:t> joined to real records. Per-record impact against uncertainty; weighted versus uniform resampling; edge stability.</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4.10 Null and adversarial tests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stage0/impact.py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placebo_test</w:t>
      </w:r>
      <w:r w:rsidRPr="006D7620">
        <w:rPr>
          <w:rFonts w:ascii="Segoe UI" w:eastAsia="Times New Roman" w:hAnsi="Segoe UI" w:cs="Segoe UI"/>
          <w:color w:val="0F1115"/>
          <w:sz w:val="21"/>
          <w:szCs w:val="21"/>
        </w:rPr>
        <w:t>, </w:t>
      </w:r>
      <w:r w:rsidRPr="006D7620">
        <w:rPr>
          <w:rFonts w:ascii="Consolas" w:eastAsia="Times New Roman" w:hAnsi="Consolas" w:cs="Courier New"/>
          <w:color w:val="0F1115"/>
          <w:sz w:val="16"/>
          <w:szCs w:val="16"/>
          <w:shd w:val="clear" w:color="auto" w:fill="FAFAFA"/>
        </w:rPr>
        <w:t>high_low_contrast</w:t>
      </w:r>
      <w:r w:rsidRPr="006D7620">
        <w:rPr>
          <w:rFonts w:ascii="Segoe UI" w:eastAsia="Times New Roman" w:hAnsi="Segoe UI" w:cs="Segoe UI"/>
          <w:color w:val="0F1115"/>
          <w:sz w:val="21"/>
          <w:szCs w:val="21"/>
        </w:rPr>
        <w:t>; plus the cross-domain weight transfer.</w:t>
      </w:r>
    </w:p>
    <w:p w:rsidR="006D7620" w:rsidRPr="006D7620" w:rsidRDefault="006D7620" w:rsidP="006D7620">
      <w:pPr>
        <w:shd w:val="clear" w:color="auto" w:fill="FFFFFF"/>
        <w:spacing w:before="480" w:after="240" w:line="390" w:lineRule="atLeast"/>
        <w:outlineLvl w:val="2"/>
        <w:rPr>
          <w:rFonts w:ascii="Segoe UI" w:eastAsia="Times New Roman" w:hAnsi="Segoe UI" w:cs="Segoe UI"/>
          <w:b/>
          <w:bCs/>
          <w:color w:val="0F1115"/>
          <w:sz w:val="27"/>
          <w:szCs w:val="27"/>
        </w:rPr>
      </w:pPr>
      <w:r w:rsidRPr="006D7620">
        <w:rPr>
          <w:rFonts w:ascii="Segoe UI" w:eastAsia="Times New Roman" w:hAnsi="Segoe UI" w:cs="Segoe UI"/>
          <w:b/>
          <w:bCs/>
          <w:color w:val="0F1115"/>
          <w:sz w:val="27"/>
          <w:szCs w:val="27"/>
        </w:rPr>
        <w:t>4.11 Cross-domain comparison (RQ6)</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Consolas" w:eastAsia="Times New Roman" w:hAnsi="Consolas" w:cs="Courier New"/>
          <w:color w:val="0F1115"/>
          <w:sz w:val="16"/>
          <w:szCs w:val="16"/>
          <w:shd w:val="clear" w:color="auto" w:fill="FAFAFA"/>
        </w:rPr>
        <w:t>analysis/empirical.py</w:t>
      </w:r>
      <w:r w:rsidRPr="006D7620">
        <w:rPr>
          <w:rFonts w:ascii="Segoe UI" w:eastAsia="Times New Roman" w:hAnsi="Segoe UI" w:cs="Segoe UI"/>
          <w:color w:val="0F1115"/>
          <w:sz w:val="21"/>
          <w:szCs w:val="21"/>
        </w:rPr>
        <w:t> → </w:t>
      </w:r>
      <w:r w:rsidRPr="006D7620">
        <w:rPr>
          <w:rFonts w:ascii="Consolas" w:eastAsia="Times New Roman" w:hAnsi="Consolas" w:cs="Courier New"/>
          <w:color w:val="0F1115"/>
          <w:sz w:val="16"/>
          <w:szCs w:val="16"/>
          <w:shd w:val="clear" w:color="auto" w:fill="FAFAFA"/>
        </w:rPr>
        <w:t>cross_domain_comparison</w:t>
      </w:r>
      <w:r w:rsidRPr="006D7620">
        <w:rPr>
          <w:rFonts w:ascii="Segoe UI" w:eastAsia="Times New Roman" w:hAnsi="Segoe UI" w:cs="Segoe UI"/>
          <w:color w:val="0F1115"/>
          <w:sz w:val="21"/>
          <w:szCs w:val="21"/>
        </w:rPr>
        <w:t>. The two domains side by side, never pooled, plus the value-location contrast.</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30"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5. Discussion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Pending results.</w:t>
      </w:r>
      <w:r w:rsidRPr="006D7620">
        <w:rPr>
          <w:rFonts w:ascii="Segoe UI" w:eastAsia="Times New Roman" w:hAnsi="Segoe UI" w:cs="Segoe UI"/>
          <w:color w:val="0F1115"/>
          <w:sz w:val="21"/>
          <w:szCs w:val="21"/>
        </w:rPr>
        <w:t> The discussion is structured around the pre-registered hypotheses rather than around whatever the numbers turn out to be, so that the interpretation cannot be written after the fact.</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Under the first hypothesis — high-uncertainty records associate with unstable edges and elevated causal impact — the conclusion is that uncertainty propagation is a necessary rather than optional component of causal inference on automatically extracted data, and the practical recommendation is a specific weighting scheme with a measured effect size.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Under the second — no significant association — the conclusion is the opposite and equally useful: causal inference on this class of extracted data is robust to extraction noise within the observed range. This is a reassurance result, not a failure, and it requires the confidence interval to exclude the substantial-effect threshold for the absence to be statistically supported.</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Under the third — a domain-dependent relationship — the contribution is a diagnostic criterion identifying when propagation is required, expressed in terms of measurable structural properties of the data rather than of the domain's name.</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A fourth outcome deserves separate treatment because it is the one most likely to occur and least likely to be reported: if the uncertainty metric tracks source ambiguity but not hallucination, then dispersion-based uncertainty is a measure of </w:t>
      </w:r>
      <w:r w:rsidRPr="006D7620">
        <w:rPr>
          <w:rFonts w:ascii="Segoe UI" w:eastAsia="Times New Roman" w:hAnsi="Segoe UI" w:cs="Segoe UI"/>
          <w:i/>
          <w:iCs/>
          <w:color w:val="0F1115"/>
          <w:sz w:val="21"/>
          <w:szCs w:val="21"/>
        </w:rPr>
        <w:t>text clarity</w:t>
      </w:r>
      <w:r w:rsidRPr="006D7620">
        <w:rPr>
          <w:rFonts w:ascii="Segoe UI" w:eastAsia="Times New Roman" w:hAnsi="Segoe UI" w:cs="Segoe UI"/>
          <w:color w:val="0F1115"/>
          <w:sz w:val="21"/>
          <w:szCs w:val="21"/>
        </w:rPr>
        <w:t> rather than of </w:t>
      </w:r>
      <w:r w:rsidRPr="006D7620">
        <w:rPr>
          <w:rFonts w:ascii="Segoe UI" w:eastAsia="Times New Roman" w:hAnsi="Segoe UI" w:cs="Segoe UI"/>
          <w:i/>
          <w:iCs/>
          <w:color w:val="0F1115"/>
          <w:sz w:val="21"/>
          <w:szCs w:val="21"/>
        </w:rPr>
        <w:t>extraction reliability</w:t>
      </w:r>
      <w:r w:rsidRPr="006D7620">
        <w:rPr>
          <w:rFonts w:ascii="Segoe UI" w:eastAsia="Times New Roman" w:hAnsi="Segoe UI" w:cs="Segoe UI"/>
          <w:color w:val="0F1115"/>
          <w:sz w:val="21"/>
          <w:szCs w:val="21"/>
        </w:rPr>
        <w:t>, and the field's growing reliance on it should be qualified accordingly. Our taxonomy is designed to make this outcome visible, and Section 4.6 reports it whether or not it flatters the framework.</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31"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6. Limitations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The full list is in the proposal; the four that a reader should weigh most heavily:</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The sample-size floor is real and we are below it by design.</w:t>
      </w:r>
      <w:r w:rsidRPr="006D7620">
        <w:rPr>
          <w:rFonts w:ascii="Segoe UI" w:eastAsia="Times New Roman" w:hAnsi="Segoe UI" w:cs="Segoe UI"/>
          <w:color w:val="0F1115"/>
          <w:sz w:val="21"/>
          <w:szCs w:val="21"/>
        </w:rPr>
        <w:t> Every quantitative study in the causal-discovery robustness literature begins at n = 100. Our corpus is bounded by the literature at 60–120 records in Domain 1. Where n falls below the power analysis's requirement, the study is a </w:t>
      </w:r>
      <w:r w:rsidRPr="006D7620">
        <w:rPr>
          <w:rFonts w:ascii="Segoe UI" w:eastAsia="Times New Roman" w:hAnsi="Segoe UI" w:cs="Segoe UI"/>
          <w:b/>
          <w:bCs/>
          <w:color w:val="0F1115"/>
          <w:sz w:val="21"/>
          <w:szCs w:val="21"/>
        </w:rPr>
        <w:t>stress test at the infeasible extreme</w:t>
      </w:r>
      <w:r w:rsidRPr="006D7620">
        <w:rPr>
          <w:rFonts w:ascii="Segoe UI" w:eastAsia="Times New Roman" w:hAnsi="Segoe UI" w:cs="Segoe UI"/>
          <w:color w:val="0F1115"/>
          <w:sz w:val="21"/>
          <w:szCs w:val="21"/>
        </w:rPr>
        <w:t>, and we report it as such rather than as an adequate design.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The external gold standard introduces a failure mode that is invisible from our side.</w:t>
      </w:r>
      <w:r w:rsidRPr="006D7620">
        <w:rPr>
          <w:rFonts w:ascii="Segoe UI" w:eastAsia="Times New Roman" w:hAnsi="Segoe UI" w:cs="Segoe UI"/>
          <w:color w:val="0F1115"/>
          <w:sz w:val="21"/>
          <w:szCs w:val="21"/>
        </w:rPr>
        <w:t> A wrong paper-to-record link is scored as an extraction error against the pipeline. We control it with recorded matching confidence and hand verification of a 30-match sample, but a residual rate below the sampling resolution cannot be excluded.</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Simulation calibration makes the simulation fair, not representative.</w:t>
      </w:r>
      <w:r w:rsidRPr="006D7620">
        <w:rPr>
          <w:rFonts w:ascii="Segoe UI" w:eastAsia="Times New Roman" w:hAnsi="Segoe UI" w:cs="Segoe UI"/>
          <w:color w:val="0F1115"/>
          <w:sz w:val="21"/>
          <w:szCs w:val="21"/>
        </w:rPr>
        <w:t> Standardized effect sizes and varsortability control remove two documented artefacts; they cannot establish that our injected error model resembles real extraction errors.</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Two gold standards, two procedures.</w:t>
      </w:r>
      <w:r w:rsidRPr="006D7620">
        <w:rPr>
          <w:rFonts w:ascii="Segoe UI" w:eastAsia="Times New Roman" w:hAnsi="Segoe UI" w:cs="Segoe UI"/>
          <w:color w:val="0F1115"/>
          <w:sz w:val="21"/>
          <w:szCs w:val="21"/>
        </w:rPr>
        <w:t> BDD accuracy is measured against hand annotation, perovskite accuracy against a community-curated database with an unknown curation error rate. The two figures are reported side by side and never averaged.</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32"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7. Conclusion</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b/>
          <w:bCs/>
          <w:color w:val="0F1115"/>
          <w:sz w:val="21"/>
          <w:szCs w:val="21"/>
        </w:rPr>
        <w:t>Pending results.</w:t>
      </w:r>
      <w:r w:rsidRPr="006D7620">
        <w:rPr>
          <w:rFonts w:ascii="Segoe UI" w:eastAsia="Times New Roman" w:hAnsi="Segoe UI" w:cs="Segoe UI"/>
          <w:color w:val="0F1115"/>
          <w:sz w:val="21"/>
          <w:szCs w:val="21"/>
        </w:rPr>
        <w:t> The conclusion will state which of the three pre-registered outcomes obtained, what the measured cost of confident mode collapse was, and what the calibrated recommendation is for practitioners deciding whether to propagate extraction uncertainty. It will also state what the study cannot conclude: the sample sizes here cannot identify true causal structure, and no result in this paper should be read as a claim about the underlying science of either domain.</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33"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Data and code availability</w:t>
      </w:r>
    </w:p>
    <w:p w:rsidR="006D7620" w:rsidRPr="006D7620" w:rsidRDefault="006D7620" w:rsidP="006D7620">
      <w:pPr>
        <w:shd w:val="clear" w:color="auto" w:fill="FFFFFF"/>
        <w:spacing w:before="240" w:after="240" w:line="240" w:lineRule="auto"/>
        <w:rPr>
          <w:rFonts w:ascii="Segoe UI" w:eastAsia="Times New Roman" w:hAnsi="Segoe UI" w:cs="Segoe UI"/>
          <w:color w:val="0F1115"/>
          <w:sz w:val="21"/>
          <w:szCs w:val="21"/>
        </w:rPr>
      </w:pPr>
      <w:r w:rsidRPr="006D7620">
        <w:rPr>
          <w:rFonts w:ascii="Segoe UI" w:eastAsia="Times New Roman" w:hAnsi="Segoe UI" w:cs="Segoe UI"/>
          <w:color w:val="0F1115"/>
          <w:sz w:val="21"/>
          <w:szCs w:val="21"/>
        </w:rPr>
        <w:t>Pipeline code, the frozen prompt sets, extracted records, gold-standard annotations with annotator identity masked, simulation configurations and a container definition will be released on publication. Raw extraction attempts are released in full: without them the dispersion cannot be recomputed by a reader, and an unverifiable uncertainty measurement is worth little.</w:t>
      </w:r>
    </w:p>
    <w:p w:rsidR="006D7620" w:rsidRPr="006D7620" w:rsidRDefault="006D7620" w:rsidP="006D7620">
      <w:pPr>
        <w:spacing w:before="480" w:after="480" w:line="240" w:lineRule="auto"/>
        <w:rPr>
          <w:rFonts w:ascii="Times New Roman" w:eastAsia="Times New Roman" w:hAnsi="Times New Roman" w:cs="Times New Roman"/>
          <w:sz w:val="16"/>
          <w:szCs w:val="16"/>
        </w:rPr>
      </w:pPr>
      <w:r w:rsidRPr="006D7620">
        <w:rPr>
          <w:rFonts w:ascii="Times New Roman" w:eastAsia="Times New Roman" w:hAnsi="Times New Roman" w:cs="Times New Roman"/>
          <w:sz w:val="16"/>
          <w:szCs w:val="16"/>
        </w:rPr>
        <w:pict>
          <v:rect id="_x0000_i1034" style="width:0;height:.4pt" o:hralign="center" o:hrstd="t" o:hr="t" fillcolor="#a0a0a0" stroked="f"/>
        </w:pict>
      </w:r>
    </w:p>
    <w:p w:rsidR="006D7620" w:rsidRPr="006D7620" w:rsidRDefault="006D7620" w:rsidP="006D7620">
      <w:pPr>
        <w:shd w:val="clear" w:color="auto" w:fill="FFFFFF"/>
        <w:spacing w:before="480" w:after="240" w:line="420" w:lineRule="atLeast"/>
        <w:outlineLvl w:val="1"/>
        <w:rPr>
          <w:rFonts w:ascii="Segoe UI" w:eastAsia="Times New Roman" w:hAnsi="Segoe UI" w:cs="Segoe UI"/>
          <w:b/>
          <w:bCs/>
          <w:color w:val="0F1115"/>
          <w:sz w:val="29"/>
          <w:szCs w:val="29"/>
        </w:rPr>
      </w:pPr>
      <w:r w:rsidRPr="006D7620">
        <w:rPr>
          <w:rFonts w:ascii="Segoe UI" w:eastAsia="Times New Roman" w:hAnsi="Segoe UI" w:cs="Segoe UI"/>
          <w:b/>
          <w:bCs/>
          <w:color w:val="0F1115"/>
          <w:sz w:val="29"/>
          <w:szCs w:val="29"/>
        </w:rPr>
        <w:t>Figure and table plan</w:t>
      </w:r>
    </w:p>
    <w:tbl>
      <w:tblPr>
        <w:tblW w:w="0" w:type="auto"/>
        <w:tblCellMar>
          <w:top w:w="15" w:type="dxa"/>
          <w:left w:w="15" w:type="dxa"/>
          <w:bottom w:w="15" w:type="dxa"/>
          <w:right w:w="15" w:type="dxa"/>
        </w:tblCellMar>
        <w:tblLook w:val="04A0" w:firstRow="1" w:lastRow="0" w:firstColumn="1" w:lastColumn="0" w:noHBand="0" w:noVBand="1"/>
      </w:tblPr>
      <w:tblGrid>
        <w:gridCol w:w="669"/>
        <w:gridCol w:w="1654"/>
        <w:gridCol w:w="4606"/>
        <w:gridCol w:w="2671"/>
      </w:tblGrid>
      <w:tr w:rsidR="006D7620" w:rsidRPr="006D7620" w:rsidTr="006D7620">
        <w:trPr>
          <w:tblHeader/>
        </w:trPr>
        <w:tc>
          <w:tcPr>
            <w:tcW w:w="0" w:type="auto"/>
            <w:tcBorders>
              <w:top w:val="nil"/>
            </w:tcBorders>
            <w:tcMar>
              <w:top w:w="150" w:type="dxa"/>
              <w:left w:w="0" w:type="dxa"/>
              <w:bottom w:w="150" w:type="dxa"/>
              <w:right w:w="240" w:type="dxa"/>
            </w:tcMar>
            <w:vAlign w:val="center"/>
            <w:hideMark/>
          </w:tcPr>
          <w:p w:rsidR="006D7620" w:rsidRPr="006D7620" w:rsidRDefault="006D7620" w:rsidP="006D7620">
            <w:pPr>
              <w:spacing w:after="0" w:line="330" w:lineRule="atLeast"/>
              <w:jc w:val="center"/>
              <w:rPr>
                <w:rFonts w:ascii="Segoe UI" w:eastAsia="Times New Roman" w:hAnsi="Segoe UI" w:cs="Segoe UI"/>
                <w:sz w:val="20"/>
                <w:szCs w:val="20"/>
              </w:rPr>
            </w:pPr>
            <w:r w:rsidRPr="006D7620">
              <w:rPr>
                <w:rFonts w:ascii="Segoe UI" w:eastAsia="Times New Roman" w:hAnsi="Segoe UI" w:cs="Segoe UI"/>
                <w:sz w:val="20"/>
                <w:szCs w:val="20"/>
              </w:rPr>
              <w:t>#</w:t>
            </w:r>
          </w:p>
        </w:tc>
        <w:tc>
          <w:tcPr>
            <w:tcW w:w="0" w:type="auto"/>
            <w:tcBorders>
              <w:top w:val="nil"/>
            </w:tcBorders>
            <w:tcMar>
              <w:top w:w="150" w:type="dxa"/>
              <w:left w:w="240" w:type="dxa"/>
              <w:bottom w:w="150" w:type="dxa"/>
              <w:right w:w="240" w:type="dxa"/>
            </w:tcMar>
            <w:vAlign w:val="center"/>
            <w:hideMark/>
          </w:tcPr>
          <w:p w:rsidR="006D7620" w:rsidRPr="006D7620" w:rsidRDefault="006D7620" w:rsidP="006D7620">
            <w:pPr>
              <w:spacing w:after="0" w:line="330" w:lineRule="atLeast"/>
              <w:jc w:val="center"/>
              <w:rPr>
                <w:rFonts w:ascii="Segoe UI" w:eastAsia="Times New Roman" w:hAnsi="Segoe UI" w:cs="Segoe UI"/>
                <w:sz w:val="20"/>
                <w:szCs w:val="20"/>
              </w:rPr>
            </w:pPr>
            <w:r w:rsidRPr="006D7620">
              <w:rPr>
                <w:rFonts w:ascii="Segoe UI" w:eastAsia="Times New Roman" w:hAnsi="Segoe UI" w:cs="Segoe UI"/>
                <w:sz w:val="20"/>
                <w:szCs w:val="20"/>
              </w:rPr>
              <w:t>Type</w:t>
            </w:r>
          </w:p>
        </w:tc>
        <w:tc>
          <w:tcPr>
            <w:tcW w:w="0" w:type="auto"/>
            <w:tcBorders>
              <w:top w:val="nil"/>
            </w:tcBorders>
            <w:tcMar>
              <w:top w:w="150" w:type="dxa"/>
              <w:left w:w="240" w:type="dxa"/>
              <w:bottom w:w="150" w:type="dxa"/>
              <w:right w:w="240" w:type="dxa"/>
            </w:tcMar>
            <w:vAlign w:val="center"/>
            <w:hideMark/>
          </w:tcPr>
          <w:p w:rsidR="006D7620" w:rsidRPr="006D7620" w:rsidRDefault="006D7620" w:rsidP="006D7620">
            <w:pPr>
              <w:spacing w:after="0" w:line="330" w:lineRule="atLeast"/>
              <w:jc w:val="center"/>
              <w:rPr>
                <w:rFonts w:ascii="Segoe UI" w:eastAsia="Times New Roman" w:hAnsi="Segoe UI" w:cs="Segoe UI"/>
                <w:sz w:val="20"/>
                <w:szCs w:val="20"/>
              </w:rPr>
            </w:pPr>
            <w:r w:rsidRPr="006D7620">
              <w:rPr>
                <w:rFonts w:ascii="Segoe UI" w:eastAsia="Times New Roman" w:hAnsi="Segoe UI" w:cs="Segoe UI"/>
                <w:sz w:val="20"/>
                <w:szCs w:val="20"/>
              </w:rPr>
              <w:t>Content</w:t>
            </w:r>
          </w:p>
        </w:tc>
        <w:tc>
          <w:tcPr>
            <w:tcW w:w="0" w:type="auto"/>
            <w:tcBorders>
              <w:top w:val="nil"/>
            </w:tcBorders>
            <w:tcMar>
              <w:top w:w="150" w:type="dxa"/>
              <w:left w:w="240" w:type="dxa"/>
              <w:bottom w:w="150" w:type="dxa"/>
              <w:right w:w="240" w:type="dxa"/>
            </w:tcMar>
            <w:vAlign w:val="center"/>
            <w:hideMark/>
          </w:tcPr>
          <w:p w:rsidR="006D7620" w:rsidRPr="006D7620" w:rsidRDefault="006D7620" w:rsidP="006D7620">
            <w:pPr>
              <w:spacing w:after="0" w:line="330" w:lineRule="atLeast"/>
              <w:jc w:val="center"/>
              <w:rPr>
                <w:rFonts w:ascii="Segoe UI" w:eastAsia="Times New Roman" w:hAnsi="Segoe UI" w:cs="Segoe UI"/>
                <w:sz w:val="20"/>
                <w:szCs w:val="20"/>
              </w:rPr>
            </w:pPr>
            <w:r w:rsidRPr="006D7620">
              <w:rPr>
                <w:rFonts w:ascii="Segoe UI" w:eastAsia="Times New Roman" w:hAnsi="Segoe UI" w:cs="Segoe UI"/>
                <w:sz w:val="20"/>
                <w:szCs w:val="20"/>
              </w:rPr>
              <w:t>Source</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1</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Schematic</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The pipeline: extraction → three signals → calibration → weighted causal learning → per-record impact</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2</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Line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Attainable ceiling against error rate, by sample size</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attainable_ceiling</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3</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Line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Ceiling against confident-wrong rate — the price of mode collapse</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mode_collapse_section</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4</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Line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Ground-truth causal impact curve against injected error rate, by effect size</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impact_curve</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5</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Curve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Power against n per effect size, with the corpus target marked</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power_section</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6</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Reliability diagram</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Predicted uncertainty against observed error rate, with conformal coverage</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reliability_bins</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7</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Scatter</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Per-record uncertainty against per-record causal impact</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impact_vs_uncertainty</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8</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Bar</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Collapsed versus diffuse error share, by error class</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rq8_mode_collapse</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Fig. 9</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Bar</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Cross-domain comparison, side by side and never pooled</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cross_domain_comparison</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1</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Simulation design grid</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run_stage0.py</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2</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PRISMA flow counts</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prisma_search.md</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3</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Extraction configuration: models, revisions, decoding</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prompts_and_uncertainty.md</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4</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κ for the dual annotation, binary and taxonomy</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annotation_codebook.md</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5</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Signal ablation: each signal alone and in combination</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uncertainty.py</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6</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Weighting sensitivity: linear, rank, exponential, uniform</w:t>
            </w:r>
          </w:p>
        </w:tc>
        <w:tc>
          <w:tcPr>
            <w:tcW w:w="0" w:type="auto"/>
            <w:tcMar>
              <w:top w:w="150" w:type="dxa"/>
              <w:left w:w="240" w:type="dxa"/>
              <w:bottom w:w="150" w:type="dxa"/>
              <w:right w:w="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Consolas" w:eastAsia="Times New Roman" w:hAnsi="Consolas" w:cs="Courier New"/>
                <w:sz w:val="17"/>
                <w:szCs w:val="17"/>
                <w:shd w:val="clear" w:color="auto" w:fill="FAFAFA"/>
              </w:rPr>
              <w:t>run_stage0.py</w:t>
            </w:r>
          </w:p>
        </w:tc>
      </w:tr>
      <w:tr w:rsidR="006D7620" w:rsidRPr="006D7620" w:rsidTr="006D7620">
        <w:tc>
          <w:tcPr>
            <w:tcW w:w="0" w:type="auto"/>
            <w:tcMar>
              <w:top w:w="150" w:type="dxa"/>
              <w:left w:w="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 7</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Table</w:t>
            </w:r>
          </w:p>
        </w:tc>
        <w:tc>
          <w:tcPr>
            <w:tcW w:w="0" w:type="auto"/>
            <w:tcMar>
              <w:top w:w="150" w:type="dxa"/>
              <w:left w:w="240" w:type="dxa"/>
              <w:bottom w:w="150" w:type="dxa"/>
              <w:right w:w="240" w:type="dxa"/>
            </w:tcMar>
            <w:vAlign w:val="center"/>
            <w:hideMark/>
          </w:tcPr>
          <w:p w:rsidR="006D7620" w:rsidRPr="006D7620" w:rsidRDefault="006D7620" w:rsidP="006D7620">
            <w:pPr>
              <w:spacing w:after="0" w:line="330" w:lineRule="atLeast"/>
              <w:rPr>
                <w:rFonts w:ascii="Segoe UI" w:eastAsia="Times New Roman" w:hAnsi="Segoe UI" w:cs="Segoe UI"/>
                <w:sz w:val="20"/>
                <w:szCs w:val="20"/>
              </w:rPr>
            </w:pPr>
            <w:r w:rsidRPr="006D7620">
              <w:rPr>
                <w:rFonts w:ascii="Segoe UI" w:eastAsia="Times New Roman" w:hAnsi="Segoe UI" w:cs="Segoe UI"/>
                <w:sz w:val="20"/>
                <w:szCs w:val="20"/>
              </w:rPr>
              <w:t>Null and adversarial test results</w:t>
            </w:r>
          </w:p>
        </w:tc>
        <w:tc>
          <w:tcPr>
            <w:tcW w:w="0" w:type="auto"/>
            <w:vAlign w:val="center"/>
            <w:hideMark/>
          </w:tcPr>
          <w:p w:rsidR="006D7620" w:rsidRPr="006D7620" w:rsidRDefault="006D7620" w:rsidP="006D7620">
            <w:pPr>
              <w:spacing w:after="0" w:line="240" w:lineRule="auto"/>
              <w:rPr>
                <w:rFonts w:ascii="Times New Roman" w:eastAsia="Times New Roman" w:hAnsi="Times New Roman" w:cs="Times New Roman"/>
                <w:sz w:val="20"/>
                <w:szCs w:val="20"/>
              </w:rPr>
            </w:pPr>
          </w:p>
        </w:tc>
      </w:tr>
    </w:tbl>
    <w:p w:rsidR="007C69E2" w:rsidRDefault="006D7620"/>
    <w:sectPr w:rsidR="007C69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A515118"/>
    <w:multiLevelType w:val="multilevel"/>
    <w:tmpl w:val="B2C6F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4B220E35"/>
    <w:multiLevelType w:val="multilevel"/>
    <w:tmpl w:val="6AFE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7620"/>
    <w:rsid w:val="006D7620"/>
    <w:rsid w:val="00B26835"/>
    <w:rsid w:val="00D73E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3014267">
      <w:bodyDiv w:val="1"/>
      <w:marLeft w:val="0"/>
      <w:marRight w:val="0"/>
      <w:marTop w:val="0"/>
      <w:marBottom w:val="0"/>
      <w:divBdr>
        <w:top w:val="none" w:sz="0" w:space="0" w:color="auto"/>
        <w:left w:val="none" w:sz="0" w:space="0" w:color="auto"/>
        <w:bottom w:val="none" w:sz="0" w:space="0" w:color="auto"/>
        <w:right w:val="none" w:sz="0" w:space="0" w:color="auto"/>
      </w:divBdr>
      <w:divsChild>
        <w:div w:id="182230932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pixelsPerInch w:val="72"/>
  <w:targetScreenSz w:val="544x376"/>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5237</Words>
  <Characters>29852</Characters>
  <Application>Microsoft Office Word</Application>
  <DocSecurity>0</DocSecurity>
  <Lines>248</Lines>
  <Paragraphs>70</Paragraphs>
  <ScaleCrop>false</ScaleCrop>
  <Company/>
  <LinksUpToDate>false</LinksUpToDate>
  <CharactersWithSpaces>35019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MaKa</dc:creator>
  <cp:lastModifiedBy>MaKa</cp:lastModifiedBy>
  <cp:revision>1</cp:revision>
  <dcterms:created xsi:type="dcterms:W3CDTF">2026-09-30T15:50:00Z</dcterms:created>
  <dcterms:modified xsi:type="dcterms:W3CDTF">2026-09-30T15:55:00Z</dcterms:modified>
</cp:coreProperties>
</file>