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bookmarkStart w:id="0" w:name="_GoBack"/>
      <w:bookmarkEnd w:id="0"/>
      <w:r w:rsidRPr="004D3427">
        <w:rPr>
          <w:rFonts w:ascii="Courier New" w:hAnsi="Courier New" w:cs="Courier New"/>
        </w:rPr>
        <w:t># From Extraction Confidence to Causal Reliability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## A Simulation-Calibrated Framework for Uncertainty Propagation in LLM-Based Scientific Knowledge Extraction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**Manuscript draft v0.1 ΓÇö Methods complete, Results pending**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Every numeric placeholder is written as `[[RQn.metric]]` and maps to a specific function in the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repository. No number in this file is invented. When the corresponding pipeline stage runs, each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placeholder is replaced by that function's output, and the mapping is what makes the substitution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mechanical rather than a rewriting exercise.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---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## Abstract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Large language models now extract quantitative data from scientific literature at high accuracy, and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that accuracy is reported in isolation: precision, recall and F1 against a hand-built gold standard,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with no reference to whether a given extraction error changes any downstream conclusion. Extracted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values are then treated as ground truth. We address both problems together. We introduce **causal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impact of extraction error**, an evaluation criterion defined per record as the Structural Hamming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Distance induced by correcting that record, which converts a single per-corpus quality number into a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per-record quantity that can be correlated with extraction uncertainty. We then ask whether per-value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extraction uncertainty ΓÇö measured from three independent signals ΓÇö predicts that causal impact, and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whether propagating the uncertainty changes the recovered structure relative to uniform weighting.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Because a study of this kind is only as credible as its error model, the framework is **calibrated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against synthetic data with a known ground-truth graph and controlled error injection** before being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applied to real literature; the calibration yields the attainable ceiling of any uncertainty metric on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this task, a power analysis that sets the required corpus size, and a price list for the failure mode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the recent literature identifies as most dangerous. Applied across boron-doped diamond electrodes and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halide perovskite photovoltaics ΓÇö chosen to contrast figure-bound against tabulated extraction, and the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latter validated against an independently curated FAIR database rather than our own annotation ΓÇö the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framework reports [[RQ2.auc]] ranking performance for extraction uncertainty against verified error,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lastRenderedPageBreak/>
        <w:t>and [[RQ4.r_impact]] between per-record uncertainty and per-record causal impact. Pre-registered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across all outcomes, including nulls.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---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## 1. Introduction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The growth of the scientific literature has outpaced any individual researcher's capacity to integrate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it. Automated extraction using large language models has emerged as the response, and it works: systems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now recover structured tabular data from materials-science papers at F1 scores approaching 97 %, and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the general shift from rule-based to LLM-based pipelines is essentially complete.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Three limitations persist across this body of work, and they are not independent.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**Extraction quality is evaluated in isolation.** Systems are scored by precision, recall and F1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against a gold-standard subset. This measures the extractor in a vacuum. An error that leaves every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downstream conclusion unchanged is scored identically to an error that reverses a causal conclusion,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even though only one of them matters. The consequence is that reported accuracy figures carry no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information about whether the extracted data can support the analyses it is intended to support.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**Extraction uncertainty is discarded.** Once a value is written to a database it is treated as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ground truth. But extraction is not deterministic: the same value may come back differently under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different prompt formulations, and some values are genuinely more ambiguous in the source text than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others. The reliability of any downstream statistical or causal claim is therefore disconnected from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the reliability of its inputs ΓÇö and because measurement error is known to produce spurious edges in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structure learning, that disconnection is not hypothetical.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**Narrative prose is largely excluded.** The dominant application domain is structured tables. But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performance values, service lifetimes and failure thresholds are frequently reported inside paragraphs,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and figure-bound values are excluded almost entirely. The knowledge that automated pipelines currently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reach is therefore a biased sample of the knowledge that exists.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This paper addresses all three through a single framework with a fourth element that, we argue, is what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makes the other three credible. The framework is **calibrated against known ground truth before it is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applied to real literature**. Without that step, a study of this kind reports a correlation between two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quantities whose error structure is itself unknown, and no reader can distinguish a real effect from an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artefact of the pipeline.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### Contributions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1. **Causal impact of extraction error**, an evaluation criterion that scores extraction by its effect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 xml:space="preserve">   on downstream inference rather than in isolation, defined per record so that it is statistically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 xml:space="preserve">   usable ΓÇö see Section 3.5.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2. **A simulation-calibrated uncertainty-propagation framework**, characterised against known ground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 xml:space="preserve">   truth across sample sizes, effect sizes and error regimes, yielding the attainable ceiling of the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 xml:space="preserve">   task, a power analysis, and a calibration curve from observed uncertainty to expected structural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 xml:space="preserve">   change ΓÇö Section 3.1.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3. **Multi-signal uncertainty for scientific extraction**, combining paraphrase self-consistency, token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 xml:space="preserve">   entropy and a cross-model epistemic term, with an ablation establishing each signal's incremental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 xml:space="preserve">   value and a diagnostic for the failure mode that defeats dispersion alone ΓÇö Sections 3.3 and 3.6.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4. **A dual-validated corpus**, with a hand-annotated BDD gold standard and a perovskite validation set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 xml:space="preserve">   built against an independently curated external database ΓÇö Section 3.4.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We claim no novelty over the uncertainty signal itself. Paraphrase-induced variance as an uncertainty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measure is prior art, and we say so in Section 2. Our claim begins strictly downstream of the signal.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---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## 2. Related Work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### 2.1 LLM-based extraction from scientific literature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The field moved from rule-based pipelines to LLM-based extraction, and reported accuracies are now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high. MaTableGPT reports F1 near 97 % on structured tables from materials-science literature; Polak &amp;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Morgan's ChatExtract reports roughly 90 % precision and recall; Dagdelen et al. (2024) is the canonical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demonstration of structured extraction at scale. Two facts about this literature matter here. First,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accuracy is measured in isolation ΓÇö every system above is scored by precision, recall and F1 against a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gold subset, and none asks whether an extraction error changes any downstream conclusion. Second, none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of it quantifies extraction uncertainty at all, which makes the uncertainty question a genuine gap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rather than an unexamined one.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The one place we are not first: Khalighinejad et al. (2024) already apply self-consistency to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full-document extraction in materials and polymer literature. "Self-consistency for scientific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extraction" is therefore prior art and we do not claim it. What that work does not do ΓÇö and what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remains open ΓÇö is propagate the resulting uncertainty into a downstream inference and calibrate the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relationship against ground truth.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### 2.2 Uncertainty quantification for extraction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Self-consistency originates as a *decoding* method for accuracy (Wang et al., 2023) and was never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framed there as calibrated uncertainty; the lineage that treats sampling as an uncertainty signal is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semantic entropy (Kuhn, Gal &amp; Farquhar, 2023) and its successor (Farquhar et al., 2024), which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explicitly restrict their target to confabulations. For extraction specifically, Kim et al. (2025) is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the closest published analogue to our work ΓÇö LLM extraction with an LLM-as-judge verification stage and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conformal prediction over 10 000 clinical visits, describing state-of-the-art models as "notoriously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miscalibrated and overconfident". **It does not use dispersion; it uses conformal prediction.** Xu &amp; Lu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(2025) likewise report that token-entropy measures with split conformal calibration outperform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self-consistency-based uncertainty quantification. We adopt conformal calibration for that reason.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Paraphrase-induced variance is used as an uncertainty measure in an independent line of work (Atalkar,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Sohani &amp; Deogaonkar, 2026; Feng et al., 2025) and analysed favourably per item by Ali (2026). We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therefore make no novelty claim over the signal, and this section exists so that the claim is not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mistaken for one.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### 2.3 What sampling-based uncertainty can and cannot do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Ali (2026) separates two claims that are routinely conflated. Applying a MarchenkoΓÇôPastur random-matrix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test across five model families and three benchmarks, it finds that self-consistency gives **accurate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per-question uncertainty but no detectable cross-question structure**: within any single model, at most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one dimension rises above the noise edge, whereas a diverse 24-model ensemble surfaces four. The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distinction maps directly onto our design. We need per-value uncertainty, which this result supports; we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do not need cross-question correlated-error structure, which it shows a single model cannot supply. The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cross-model term is therefore not redundant padding ΓÇö it is the mechanism the literature identifies as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the only route to ensemble-level structure.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### 2.4 Confident mode collapse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Hamidieh et al. (2026) identify the failure mode that would break a dispersion-only design outright: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self-consistency "collapses when models are overconfident and produce the same incorrect answer across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samples", and cross-model semantic disagreement is higher on incorrect answers precisely when aleatoric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uncertainty is low. For an extraction pipeline this is the error that matters most, because a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confidently wrong value is exactly the error a downstream causal analysis cannot absorb. The mechanism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is documented for aligned models generally by Xiao et al. (2025), who show that pre-trained models are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well calibrated and become poorly calibrated *after* preference alignment ΓÇö which is the class of model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an extraction pipeline would use. We therefore promote the cross-model term to a primary defence and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make mode collapse its own pre-registered diagnostic (Section 3.6).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### 2.5 Measurement error in causal structure learning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This is prior art, not a gap. Blom et al. (2018) obtain an upper bound for the variance of random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measurement error from the covariance matrix and use it **as a correction for constraint-based causal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discovery** ΓÇö uncertainty propagated into inference, published in 2018. Liu, Constantinou &amp; Guo (2022)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state the same problem and add a post-hoc correction phase for five learners; Saeed et al. (2020) give a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method-of-moments estimator used with constraint-based discovery; Zhang et al. (2018) give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identifiability conditions. **The measurement-error problem is therefore studied, and any claim to have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discovered it would be false.**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What remains open is narrower. Every work above models uncertainty as i.i.d. statistical noise on an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otherwise measured variable ΓÇö typically additive, zero-mean, homogeneous in variance. The error of an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LLM extraction pipeline is none of those things: it is correlated across records through shared prompts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and shared source papers, heterogeneous in variance across relations, not zero-mean, and reproducible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only under a frozen prompt set. Whether measurement-error theory transfers to that object is an open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empirical question, and it is the question our simulation grid is built to answer.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### 2.6 Robustness of causal discovery and the sample-size floor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The metrics have known limits. Structural Hamming Distance originates with Tsamardinos, Brown &amp;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Aliferis (2006) ΓÇö note that the `pcalg` reference list misprints the venue, and we do not propagate that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error. Peters &amp; B├╝hlmann (2015) show that Structural Intervention Distance "differs significantly" from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SHD because it measures closeness in terms of the causal inference statements a graph supports, so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**SHD alone is not evidence that a causal claim is sound**; we report both. Bootstrap edge stability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dates to Friedman, Goldszmidt &amp; Wyner (1999), whose stated motivation was the low-data regime, so it is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standard practice rather than a contribution and cannot rescue a small sample. Colombo &amp; Maathuis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(2014) show PC is order-dependent, so run-to-run SHD variance can be an implementation artefact.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The sample-size evidence is unambiguous and not in our favour. Kummerfeld, Williams &amp; Ma (2023) provide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the first power-analysis method for causal discovery and criticise the prior benchmark literature for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failing to control effect sizes. Scheines &amp; Ramsey (2016) give concrete numbers: their grid begins at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n = 100, and at that size "the accuracy of FGES decays severely" once measurement error reaches roughly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17 %, with the decay slowing only at larger n ΓÇö so small n and measurement error **compound rather than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substitute**. Every quantitative study we located begins at n = 100. We found no paper validating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structure recovery at n = 15ΓÇô25 and no numeric minimum n for PC at all.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Real-data benchmarks carry their own caveats: the Sachs data's ground truth is a literature-curated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consensus rather than experimentally verified edges, and its interventions are assumed perfect despite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documented off-target effects (Sinha et al., 2021). CausalBench (Chevalley et al., 2023) finds that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interventional methods do not outperform observational ones on real data, contrary to synthetic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benchmarks ΓÇö the same lesson the measurement-error literature teaches.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**Two gaps emerge.** No paper quantifies how unstable SHD or edge stability is *as a function of n*,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which is what our Stage 0 measures. And no paper applies information-extraction confidence to causal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structure learning: the measurement-error literature propagates statistical noise; nobody propagates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extraction uncertainty.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---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## 3. Methods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### 3.1 Simulation calibration and power analysis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The framework is characterised against known ground truth before it touches real literature. All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results in this subsection come from `stage0/`, which is reproducible from a fixed seed.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**Design.** Synthetic datasets are generated across a full factorial grid: sample size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*n* Γêê {20, 50, 100, 200, 500}; variables *d* Γêê {5, 6, 8}; graph topology Γêê {Erd┼æsΓÇôR├⌐nyi, scale-free};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edge density Γêê {0.2, 0.4}; standardized effect size *r* Γêê {0.1, 0.3, 0.5}; extraction-error base rate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*p* Γêê {0, 0.05, 0.10, 0.20, 0.30}; error severity Γêê {0.10, 0.25, 0.50}; error assignment Γêê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{ambiguity-correlated, independent, both}; and a confident-wrong rate Γêê {0, 0.05, 0.10, 0.20}.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**Standardized structural equation models.** Random-weight DAG generators are varsortable: marginal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variance increases along the causal order, which lets continuous learners appear to succeed by sorting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variances (Reisach et al., 2021). They also leave effect sizes uncontrolled, which makes any reported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SHD uninterpretable (Kummerfeld et al., 2023). We therefore adopt the standardized construction: every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edge weight is set to the same value and independent noise variances are solved so that every variable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has marginal variance exactly 1, making the edge weight equal to the standardized effect size and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eliminating varsortability by construction. Both properties are computed and asserted at run time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rather than assumed; the self test verifies that the population variances are 1 to within 1e-6 and that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measured varsortability sits at chance.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**Error model.** A latent ambiguity field *a* ~ Beta(2, 5) is drawn per cell, reproducing the right tail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of genuinely ambiguous values that real extraction corpora exhibit. Errors are then injected through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two channels: an ambiguity-linked channel where the per-cell error probability is proportional to *a*,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and a **confident-wrong channel** where errors are drawn independently of ambiguity. The second channel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models mode collapse, and it is the parameter that lets the simulation put a price on the failure mode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of Section 2.4 rather than merely acknowledging it.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**Outputs.** For each cell and replication we record the attainable ceiling ΓÇö the correlation between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the true latent ambiguity and the realised error count, which no uncertainty metric can exceed ΓÇö the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mean per-record causal impact, the ambiguity share of errors, and the varsortability statistic.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**Pipeline-integrity anchors.** Two conditions must hold before any empirical claim is made. At an error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rate of zero the mean causal impact must be exactly zero; otherwise the pipeline manufactures structure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from noise. With errors independent of ambiguity there must be no uncertaintyΓÇôimpact relationship;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otherwise the headline effect is an artefact. The analysis refuses to present results if either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anchor fails, and a third check verifies that the ceiling actually falls as confident-wrong errors are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introduced, so that an inert error axis cannot pass unnoticed.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**Power analysis.** Because real per-record error counts are bounded, skewed and tie-heavy, the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sample-size requirement is computed by Monte-Carlo under a Poisson error model with Spearman's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correlation rather than by the Gaussian Fisher-z formula; both are reported and the empirical figure is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the one that sets the corpus target.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### 3.2 Corpus construction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Search and screening follow PRISMA reporting with a documented flow diagram and screening log, and the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protocol was fixed before any search was run.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**Domain 1 ΓÇö boron-doped diamond (BDD) electrodes.** Structured search across Scopus and Web of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Science, 2015 to the execution date, combining boron-doped diamond terms with Raman or doping-level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terms and with performance or failure terms. Inclusion requires peer-reviewed articles reporting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(i) Raman-derived doping or sp┬│/sp┬▓ information **and** (ii) at least one quantitative performance or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failure outcome, for a named substrate. The substrate criterion is the binding constraint: the query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mentioning titanium returns 128 articles against 2,372 for boron-doped diamond with "electrode", and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128 is an upper bound. The Domain 1 ceiling is therefore estimated at 60ΓÇô120 records, and the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conjunction rate was measured by hand before the protocol was frozen.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**Domain 2 ΓÇö halide perovskite solar cells.** Inclusion requires a device-level power conversion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efficiency with at least two of {Voc, Jsc, FF} and a named absorber composition. Records are matched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against the **Perovskite Database** (Jacobsson et al., 2022), an open FAIR-principled resource.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The domain pair was chosen for a specific contrast: BDD values are substantially prose- and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figure-bound, whereas perovskite performance values are overwhelmingly tabulated. Figure-bound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extraction is the harder and less-benchmarked task, and this is the axis under test. Each value is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tagged by provenance so that the contrast is a measured variable rather than an assertion.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### 3.3 Extraction and uncertainty quantification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**Model configuration.** Extraction uses three instruction-tuned models from independent families, with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frozen weights, reported revision hashes, quantisation, temperature, top-p and token limits. Hosted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models whose version changes mid-study are excluded because they make the result unreproducible. Where a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backend does not expose a seed we say so rather than implying determinism.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**Prompt set.** Paraphrases are constructed in four stages ΓÇö generation, back-translation filtering, a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field-set audit at temperature 0, and a two-author semantic equivalence check ΓÇö after which ten are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sampled from the survivors with a recorded seed. The full candidate set and the exclusion log are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released. The set is frozen before any data collection: a later wording change invalidates every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uncertainty value computed before it, so there are no minor edits after extraction begins.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**Signal A ΓÇö paraphrase self-consistency.** For numeric variables, the coefficient of variation across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attempts after excluding values beyond 3 ├ù MAD from the median (MAD scaled by 1.4826 so that the rule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approximates three sigma). Values whose mean is at or near zero return undefined rather than a large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number, because a large CV on a near-zero mean is an artefact of the denominator. For categorical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variables, `(1 ΓêÆ p_majority) / (1 ΓêÆ 1/k)`, so that variables with different numbers of levels are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comparable. The outlier exclusion rate is reported for every value: a value whose attempts scatter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widely enough to trip the rule is a value the source does not pin down, which is this study's own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evidence for its second research gap.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**Signal B ΓÇö token entropy.** Mean token entropy over the extracted span, normalised by span length,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since raw entropy grows with length and would otherwise conflate a long answer with an uncertain one.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**Signal C ΓÇö cross-model epistemic term.** Following Hamidieh et al. (2026), the gap between a model's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agreement with itself and its agreement with its peers, computed from the same sequence-similarity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metric for both so that the two terms share a scale. The sign convention is load-bearing: the term must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be large when intra-model agreement is high and inter-model agreement is low, which is the signature of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a model that is confidently and consistently wrong while its peers disagree.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**Composite and calibration.** The composite is a weighted mean over available signals with weights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renormalised to the signals present, and the number of contributing signals is recorded so that a value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resting on one signal is never presented as though it rested on three. Calibration uses **split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conformal prediction** on the gold-standard subset with a finite-sample quantile correction, and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isotonic regression as a comparison; both are cross-fitted so the composite is never scored on the data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that fitted it. Reliability diagrams and empirical coverage at nominal 90 % and 95 % are reported. The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pre-registered response to miscalibration ΓÇö empirical coverage more than five points below nominal ΓÇö is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to promote Signal B to primary and report the miscalibration as a result.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### 3.4 Gold standards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**BDD ΓÇö hand annotation.** 150ΓÇô200 values, sampled **stratified rather than randomly**: 35 % high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composite uncertainty, 35 % low, 20 % prose-embedded, 10 % range or series values. Stratifying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deliberately oversamples high-uncertainty values, which biases the marginal error rate upward; that is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acceptable because the gold standard estimates the *relationship* between uncertainty and error, not the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marginal rate, and the marginal rate is reported separately from the full corpus. Fixing this in advance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is what prevents the bias from becoming a silent one.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Correctness requires the right value, the right unit after normalisation, the right variable, and ΓÇö for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ranges ΓÇö that the range was not silently collapsed. The error taxonomy separates `ambiguous_source`,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where the paper genuinely does not pin the value down, from `hallucinated` and `wrong_value`, where the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paper is clear and the extractor failed. This distinction is what makes the aleatoric-versus-epistemic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result in Section 4 possible; collapsing it to a binary flag would destroy that result.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A second annotator codes a random 25 % of values **blinded to the model's uncertainty and to the other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annotator's decision**, and Cohen's ╬║ is reported separately for the binary decision and the error-type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label, with a target of 0.70 and codebook revision on failure. Blinding is not optional: an annotator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who can see that the metric flagged a value as uncertain will tend to find it ambiguous, manufacturing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the correlation the study is testing.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**Perovskite ΓÇö external validation.** Records are matched to the Perovskite Database on DOI and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composition, falling back to composition plus reported efficiency, with `match_method`,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`match_confidence` and `candidate_count` recorded for every record and a random sample of 30 matches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hand-verified before the pipeline runs. With an external gold standard the matching step, not the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extraction, is where validation can silently fail, so unmatched and ambiguous rates are reported as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headline numbers. Where a database value disagrees with the source paper, the paper governs and the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disagreement is logged. The database's own curation error rate is unknown and is stated as a floor on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the measured perovskite accuracy.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**The two domains are never pooled into a single accuracy figure.** They are measured against different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procedures, and averaging them would report the mean of two incompatible quantities.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### 3.5 Causal analysis and the causal impact criterion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**Structure learning.** Variables are restricted by domain knowledge to 5ΓÇô8 per domain, and three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algorithms are run ΓÇö PC, GES, and a continuous score-based method ΓÇö so that any conclusion depending on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a single algorithm can be identified. Both SHD and SID are reported.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**Per-record causal impact.** For each record *i*, we correct that record alone, relearn the structure,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and record `CI_i = SHD(G, G_i)`, where *G* is the graph learned from the uncorrected data. This is the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central methodological device: it converts a single per-corpus quality number into *n* observations,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which is what gives the uncertaintyΓÇôimpact hypothesis any statistical power. A single global SHD cannot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be correlated with anything.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**Uncertainty propagation.** Confidence-weighted bootstrap resampling, `w_i = g(U_i)`, with the linear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and rank-based forms tested as a formal sensitivity analysis reported as a table rather than a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paragraph. The decisive comparison is against **uniform weights**: if uncertainty-weighted and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uniform-weighted resampling produce indistinguishable structures, the paper's practical recommendation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inverts, and that is a publishable outcome under our second hypothesis.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**Edge stability.** Bootstrap appearance frequency per edge, with the association between per-record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uncertainty and per-edge stability reported with cluster-bootstrapped confidence intervals. Edge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stability is reported as established practice, not as a contribution.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### 3.6 Null and adversarial tests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Four controls separate a real effect from an artefact.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1. **Label shuffling.** Uncertainty values are permuted across records and the pipeline re-run. A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 xml:space="preserve">   correlation of similar magnitude to the observed one indicates the effect is a property of the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 xml:space="preserve">   pipeline, not of the uncertainty.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2. **High-versus-low correction contrast.** Correcting high-uncertainty records must change the graph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 xml:space="preserve">   more than correcting low-uncertainty records. This is the strongest single piece of evidence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 xml:space="preserve">   available, because it depends on no model of how uncertainty is generated.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3. **Cross-domain weight transfer.** Weights estimated in one domain are applied to the other's data; a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 xml:space="preserve">   neutral result indicates the weighting scheme carries no domain-specific information.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4. **Mode-collapse diagnostic.** Among gold-standard-incorrect values we report the share produced with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 xml:space="preserve">   dispersion at or near zero, and whether the cross-model term flagged them. This is the most direct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 xml:space="preserve">   available check on the measurement assumption itself. The pre-registered reading: above 30 %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 xml:space="preserve">   collapsed means dispersion alone is not a sufficient instrument for extraction; below 10 %, with the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 xml:space="preserve">   cross-model term catching most cases, supports the multi-signal design.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### 3.7 Statistical analysis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Effect sizes are reported with 95 % confidence intervals. **All confidence intervals resample papers,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not values**: values within a paper share a document, a prompt set and often a single table, so their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errors are correlated, and resampling values would produce intervals that are too narrow. The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implementation refuses to return an interval from fewer than three papers rather than fabricating one.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Multiplicity across the hypothesis family is controlled by HolmΓÇôBenjaminiΓÇôHochberg. Minimum detectable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effect and minimum viable corpus size are fixed by the power analysis before any literature is screened,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and any deviation is reported as such.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---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## 4. Results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**Pending.** Each subsection below names the artifact that will populate it. Results are reported in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this order because each depends on the previous one being sound: if the calibration fails, the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empirical numbers are not interpretable, and the paper says so rather than reporting them anyway.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### 4.1 Pipeline integrity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`stage0/analysis.py` integrity anchors. Both must pass before Section 4.3 is reported.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### 4.2 Attainable ceiling and the cost of mode collapse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`stage0/analysis.py` ΓåÆ `attainable_ceiling`, `mode_collapse_section`.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The ceiling as a function of sample size and error rate; the fall in ceiling as confident-wrong errors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are introduced; the measured ambiguity share of errors.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### 4.3 Ground-truth causal impact curve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`stage0/analysis.py` ΓåÆ `impact_curve`. Mean per-record SHD against injected error rate, by effect size.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### 4.4 Power analysis and the corpus decision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`stage0/analysis.py` ΓåÆ `power_section`. Minimum n per effect size, and the resulting corpus target.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### 4.5 Corpus and extraction quality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`analysis/empirical.py` ΓåÆ `flatten_records`, `exclusion_rate_report`, plus the PRISMA flow.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Includes the Domain 1 conjunction rate, the perovskite matching and ambiguous rates, and ╬║ for the dual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annotation.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### 4.6 Validity of the uncertainty metric (RQ2)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`analysis/empirical.py` ΓåÆ `rq2_uncertainty_vs_error`. AUC with cluster-bootstrapped CI; correlation with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error; and the aleatoric-versus-epistemic separation, which is where the substantive finding about what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the metric measures will appear.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### 4.7 Conformal calibration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`extraction/uncertainty.py` ΓåÆ `SplitConformalCalibrator.evaluate`, `reliability_bins`.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Empirical coverage against nominal, and the reliability diagram.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### 4.8 Mode collapse in real data (RQ8)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`analysis/empirical.py` ΓåÆ `rq8_mode_collapse`. Collapsed share, restricted to epistemic errors, and the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cross-model catch rate.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### 4.9 Causal impact and propagation (RQ4, RQ5)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`stage0/impact.py` joined to real records. Per-record impact against uncertainty; weighted versus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uniform resampling; edge stability.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### 4.10 Null and adversarial tests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`stage0/impact.py` ΓåÆ `placebo_test`, `high_low_contrast`; plus the cross-domain weight transfer.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### 4.11 Cross-domain comparison (RQ6)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`analysis/empirical.py` ΓåÆ `cross_domain_comparison`. The two domains side by side, never pooled, plus the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value-location contrast.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---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## 5. Discussion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**Pending results.** The discussion is structured around the pre-registered hypotheses rather than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around whatever the numbers turn out to be, so that the interpretation cannot be written after the fact.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Under the first hypothesis ΓÇö high-uncertainty records associate with unstable edges and elevated causal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impact ΓÇö the conclusion is that uncertainty propagation is a necessary rather than optional component of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causal inference on automatically extracted data, and the practical recommendation is a specific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weighting scheme with a measured effect size.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Under the second ΓÇö no significant association ΓÇö the conclusion is the opposite and equally useful: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causal inference on this class of extracted data is robust to extraction noise within the observed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range. This is a reassurance result, not a failure, and it requires the confidence interval to exclude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the substantial-effect threshold for the absence to be statistically supported.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Under the third ΓÇö a domain-dependent relationship ΓÇö the contribution is a diagnostic criterion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identifying when propagation is required, expressed in terms of measurable structural properties of the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data rather than of the domain's name.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A fourth outcome deserves separate treatment because it is the one most likely to occur and least likely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to be reported: if the uncertainty metric tracks source ambiguity but not hallucination, then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dispersion-based uncertainty is a measure of *text clarity* rather than of *extraction reliability*, and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the field's growing reliance on it should be qualified accordingly. Our taxonomy is designed to make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this outcome visible, and Section 4.6 reports it whether or not it flatters the framework.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---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## 6. Limitations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The full list is in the proposal; the four that a reader should weigh most heavily: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**The sample-size floor is real and we are below it by design.** Every quantitative study in the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causal-discovery robustness literature begins at n = 100. Our corpus is bounded by the literature at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60ΓÇô120 records in Domain 1. Where n falls below the power analysis's requirement, the study is a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**stress test at the infeasible extreme**, and we report it as such rather than as an adequate design.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**The external gold standard introduces a failure mode that is invisible from our side.** A wrong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paper-to-record link is scored as an extraction error against the pipeline. We control it with recorded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matching confidence and hand verification of a 30-match sample, but a residual rate below the sampling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resolution cannot be excluded.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**Simulation calibration makes the simulation fair, not representative.** Standardized effect sizes and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varsortability control remove two documented artefacts; they cannot establish that our injected error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model resembles real extraction errors.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**Two gold standards, two procedures.** BDD accuracy is measured against hand annotation, perovskite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accuracy against a community-curated database with an unknown curation error rate. The two figures are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reported side by side and never averaged.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---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## 7. Conclusion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**Pending results.** The conclusion will state which of the three pre-registered outcomes obtained, what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the measured cost of confident mode collapse was, and what the calibrated recommendation is for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practitioners deciding whether to propagate extraction uncertainty. It will also state what the study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cannot conclude: the sample sizes here cannot identify true causal structure, and no result in this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paper should be read as a claim about the underlying science of either domain.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---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## Data and code availability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Pipeline code, the frozen prompt sets, extracted records, gold-standard annotations with annotator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identity masked, simulation configurations and a container definition will be released on publication.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Raw extraction attempts are released in full: without them the dispersion cannot be recomputed by a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reader, and an unverifiable uncertainty measurement is worth little.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---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## Figure and table plan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| # | Type | Content | Source |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|---|---|---|---|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| Fig. 1 | Schematic | The pipeline: extraction ΓåÆ three signals ΓåÆ calibration ΓåÆ weighted causal learning ΓåÆ per-record impact | ΓÇö |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| Fig. 2 | Line | Attainable ceiling against error rate, by sample size | `attainable_ceiling` |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| Fig. 3 | Line | Ceiling against confident-wrong rate ΓÇö the price of mode collapse | `mode_collapse_section` |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| Fig. 4 | Line | Ground-truth causal impact curve against injected error rate, by effect size | `impact_curve` |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| Fig. 5 | Curve | Power against n per effect size, with the corpus target marked | `power_section` |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| Fig. 6 | Reliability diagram | Predicted uncertainty against observed error rate, with conformal coverage | `reliability_bins` |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| Fig. 7 | Scatter | Per-record uncertainty against per-record causal impact | `impact_vs_uncertainty` |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| Fig. 8 | Bar | Collapsed versus diffuse error share, by error class | `rq8_mode_collapse` |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| Fig. 9 | Bar | Cross-domain comparison, side by side and never pooled | `cross_domain_comparison` |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| Tab. 1 | Table | Simulation design grid | `run_stage0.py` |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| Tab. 2 | Table | PRISMA flow counts | `prisma_search.md` |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| Tab. 3 | Table | Extraction configuration: models, revisions, decoding | `prompts_and_uncertainty.md` |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| Tab. 4 | Table | ╬║ for the dual annotation, binary and taxonomy | `annotation_codebook.md` |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| Tab. 5 | Table | Signal ablation: each signal alone and in combination | `uncertainty.py` |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| Tab. 6 | Table | Weighting sensitivity: linear, rank, exponential, uniform | `run_stage0.py` |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  <w:r w:rsidRPr="004D3427">
        <w:rPr>
          <w:rFonts w:ascii="Courier New" w:hAnsi="Courier New" w:cs="Courier New"/>
        </w:rPr>
        <w:t>| Tab. 7 | Table | Null and adversarial test results | `impact.py` |</w:t>
      </w:r>
    </w:p>
    <w:p w:rsidR="004D3427" w:rsidRPr="004D3427" w:rsidRDefault="004D3427" w:rsidP="004D3427">
      <w:pPr>
        <w:pStyle w:val="a3"/>
        <w:rPr>
          <w:rFonts w:ascii="Courier New" w:hAnsi="Courier New" w:cs="Courier New"/>
        </w:rPr>
      </w:pPr>
    </w:p>
    <w:sectPr w:rsidR="004D3427" w:rsidRPr="004D3427" w:rsidSect="00884F87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6835"/>
    <w:rsid w:val="004D3427"/>
    <w:rsid w:val="00A0422F"/>
    <w:rsid w:val="00B26835"/>
    <w:rsid w:val="00D73E80"/>
    <w:rsid w:val="00EF7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uiPriority w:val="99"/>
    <w:unhideWhenUsed/>
    <w:rsid w:val="00884F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Char">
    <w:name w:val="نص عادي Char"/>
    <w:basedOn w:val="a0"/>
    <w:link w:val="a3"/>
    <w:uiPriority w:val="99"/>
    <w:rsid w:val="00884F87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uiPriority w:val="99"/>
    <w:unhideWhenUsed/>
    <w:rsid w:val="00884F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Char">
    <w:name w:val="نص عادي Char"/>
    <w:basedOn w:val="a0"/>
    <w:link w:val="a3"/>
    <w:uiPriority w:val="99"/>
    <w:rsid w:val="00884F8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pixelsPerInch w:val="72"/>
  <w:targetScreenSz w:val="544x37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5395</Words>
  <Characters>30755</Characters>
  <Application>Microsoft Office Word</Application>
  <DocSecurity>0</DocSecurity>
  <Lines>256</Lines>
  <Paragraphs>72</Paragraphs>
  <ScaleCrop>false</ScaleCrop>
  <Company/>
  <LinksUpToDate>false</LinksUpToDate>
  <CharactersWithSpaces>36078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MaKa</dc:creator>
  <cp:lastModifiedBy>MaKa</cp:lastModifiedBy>
  <cp:revision>2</cp:revision>
  <dcterms:created xsi:type="dcterms:W3CDTF">2026-09-30T15:54:00Z</dcterms:created>
  <dcterms:modified xsi:type="dcterms:W3CDTF">2026-09-30T15:54:00Z</dcterms:modified>
</cp:coreProperties>
</file>