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75" w:rsidRDefault="00954975">
      <w:r>
        <w:rPr>
          <w:noProof/>
        </w:rPr>
        <w:drawing>
          <wp:inline distT="0" distB="0" distL="0" distR="0" wp14:anchorId="1D41BC36" wp14:editId="7DDE2CBE">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54975" w:rsidRDefault="00954975">
      <w:r>
        <w:rPr>
          <w:noProof/>
        </w:rPr>
        <w:drawing>
          <wp:inline distT="0" distB="0" distL="0" distR="0" wp14:anchorId="217C16C7" wp14:editId="30829946">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54975" w:rsidRDefault="00954975"/>
    <w:p w:rsidR="00CC3906" w:rsidRDefault="00954975">
      <w:r>
        <w:rPr>
          <w:noProof/>
        </w:rPr>
        <w:lastRenderedPageBreak/>
        <w:drawing>
          <wp:inline distT="0" distB="0" distL="0" distR="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1182" w:rsidRDefault="003E1182">
      <w:r>
        <w:rPr>
          <w:noProof/>
        </w:rPr>
        <w:drawing>
          <wp:inline distT="0" distB="0" distL="0" distR="0" wp14:anchorId="613E62E3" wp14:editId="3164845E">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72B3" w:rsidRDefault="00B772B3">
      <w:r>
        <w:rPr>
          <w:noProof/>
        </w:rPr>
        <w:lastRenderedPageBreak/>
        <w:drawing>
          <wp:inline distT="0" distB="0" distL="0" distR="0" wp14:anchorId="6DCCBCF7" wp14:editId="627A3C8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100A2" w:rsidRDefault="007100A2">
      <w:r>
        <w:t xml:space="preserve">The performance greatly increased from PA4 to PA5. The bottleneck once again being the number of channels allowed as well as the request buffer size. Although with multiple event threads the performance actually slows down. </w:t>
      </w:r>
      <w:r w:rsidR="001C4752">
        <w:t xml:space="preserve">The difference is created between the curves because the overhead of all the worker threads doesn’t exist anymore. </w:t>
      </w:r>
      <w:bookmarkStart w:id="0" w:name="_GoBack"/>
      <w:bookmarkEnd w:id="0"/>
    </w:p>
    <w:sectPr w:rsidR="007100A2" w:rsidSect="00BE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75"/>
    <w:rsid w:val="001C4752"/>
    <w:rsid w:val="00363802"/>
    <w:rsid w:val="003E1182"/>
    <w:rsid w:val="00462582"/>
    <w:rsid w:val="007100A2"/>
    <w:rsid w:val="00954975"/>
    <w:rsid w:val="00963B7F"/>
    <w:rsid w:val="00B772B3"/>
    <w:rsid w:val="00BE5AC6"/>
    <w:rsid w:val="00CC3906"/>
    <w:rsid w:val="00DE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6D904"/>
  <w15:chartTrackingRefBased/>
  <w15:docId w15:val="{06C3FA4C-375F-4740-B8F4-94584E5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 4: Request Buffer Size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 = 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Sheet1!$A$2:$A$34</c:f>
              <c:numCache>
                <c:formatCode>General</c:formatCode>
                <c:ptCount val="33"/>
                <c:pt idx="0">
                  <c:v>5</c:v>
                </c:pt>
                <c:pt idx="1">
                  <c:v>10</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200</c:v>
                </c:pt>
                <c:pt idx="21">
                  <c:v>250</c:v>
                </c:pt>
                <c:pt idx="22">
                  <c:v>300</c:v>
                </c:pt>
                <c:pt idx="23">
                  <c:v>400</c:v>
                </c:pt>
                <c:pt idx="24">
                  <c:v>500</c:v>
                </c:pt>
                <c:pt idx="25">
                  <c:v>600</c:v>
                </c:pt>
                <c:pt idx="26">
                  <c:v>700</c:v>
                </c:pt>
                <c:pt idx="27">
                  <c:v>800</c:v>
                </c:pt>
                <c:pt idx="28">
                  <c:v>900</c:v>
                </c:pt>
                <c:pt idx="29">
                  <c:v>1000</c:v>
                </c:pt>
                <c:pt idx="30">
                  <c:v>1500</c:v>
                </c:pt>
                <c:pt idx="31">
                  <c:v>2000</c:v>
                </c:pt>
                <c:pt idx="32">
                  <c:v>2500</c:v>
                </c:pt>
              </c:numCache>
            </c:numRef>
          </c:cat>
          <c:val>
            <c:numRef>
              <c:f>Sheet1!$B$2:$B$34</c:f>
              <c:numCache>
                <c:formatCode>General</c:formatCode>
                <c:ptCount val="33"/>
                <c:pt idx="0">
                  <c:v>25.525411999999999</c:v>
                </c:pt>
                <c:pt idx="1">
                  <c:v>12.551901000000001</c:v>
                </c:pt>
                <c:pt idx="2">
                  <c:v>8.3381369999999997</c:v>
                </c:pt>
                <c:pt idx="3">
                  <c:v>5.0188670000000002</c:v>
                </c:pt>
                <c:pt idx="4">
                  <c:v>3.5958649999999999</c:v>
                </c:pt>
                <c:pt idx="5">
                  <c:v>2.8234859999999999</c:v>
                </c:pt>
                <c:pt idx="6">
                  <c:v>2.3141880000000001</c:v>
                </c:pt>
                <c:pt idx="7">
                  <c:v>1.957139</c:v>
                </c:pt>
                <c:pt idx="8">
                  <c:v>1.7034670000000001</c:v>
                </c:pt>
                <c:pt idx="9">
                  <c:v>1.5004280000000001</c:v>
                </c:pt>
                <c:pt idx="10">
                  <c:v>1.354978</c:v>
                </c:pt>
                <c:pt idx="11">
                  <c:v>1.2172480000000001</c:v>
                </c:pt>
                <c:pt idx="12">
                  <c:v>1.115982</c:v>
                </c:pt>
                <c:pt idx="13">
                  <c:v>1.030632</c:v>
                </c:pt>
                <c:pt idx="14">
                  <c:v>0.95441399999999998</c:v>
                </c:pt>
                <c:pt idx="15">
                  <c:v>0.88409899999999997</c:v>
                </c:pt>
                <c:pt idx="16">
                  <c:v>0.82901000000000002</c:v>
                </c:pt>
                <c:pt idx="17">
                  <c:v>0.78347299999999997</c:v>
                </c:pt>
                <c:pt idx="18">
                  <c:v>0.73655599999999999</c:v>
                </c:pt>
                <c:pt idx="19">
                  <c:v>0.69831200000000004</c:v>
                </c:pt>
                <c:pt idx="20">
                  <c:v>0.64899300000000004</c:v>
                </c:pt>
                <c:pt idx="21">
                  <c:v>0.52557299999999996</c:v>
                </c:pt>
                <c:pt idx="22">
                  <c:v>0.44336999999999999</c:v>
                </c:pt>
                <c:pt idx="23">
                  <c:v>0.35112100000000002</c:v>
                </c:pt>
                <c:pt idx="24">
                  <c:v>0.29039300000000001</c:v>
                </c:pt>
                <c:pt idx="25">
                  <c:v>0.25809599999999999</c:v>
                </c:pt>
                <c:pt idx="26">
                  <c:v>0.246476</c:v>
                </c:pt>
                <c:pt idx="27">
                  <c:v>0.26196199999999997</c:v>
                </c:pt>
                <c:pt idx="28">
                  <c:v>0.28759400000000002</c:v>
                </c:pt>
                <c:pt idx="29">
                  <c:v>0.33433400000000002</c:v>
                </c:pt>
                <c:pt idx="30">
                  <c:v>0.86272599999999999</c:v>
                </c:pt>
                <c:pt idx="31">
                  <c:v>1.550886</c:v>
                </c:pt>
                <c:pt idx="32">
                  <c:v>1.1069420000000001</c:v>
                </c:pt>
              </c:numCache>
            </c:numRef>
          </c:val>
          <c:smooth val="0"/>
          <c:extLst>
            <c:ext xmlns:c16="http://schemas.microsoft.com/office/drawing/2014/chart" uri="{C3380CC4-5D6E-409C-BE32-E72D297353CC}">
              <c16:uniqueId val="{00000000-CAD0-9245-AD2C-245442FD4374}"/>
            </c:ext>
          </c:extLst>
        </c:ser>
        <c:dLbls>
          <c:showLegendKey val="0"/>
          <c:showVal val="0"/>
          <c:showCatName val="0"/>
          <c:showSerName val="0"/>
          <c:showPercent val="0"/>
          <c:showBubbleSize val="0"/>
        </c:dLbls>
        <c:marker val="1"/>
        <c:smooth val="0"/>
        <c:axId val="1288646591"/>
        <c:axId val="1382313935"/>
      </c:lineChart>
      <c:catAx>
        <c:axId val="1288646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Worker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13935"/>
        <c:crosses val="autoZero"/>
        <c:auto val="1"/>
        <c:lblAlgn val="ctr"/>
        <c:lblOffset val="100"/>
        <c:noMultiLvlLbl val="0"/>
      </c:catAx>
      <c:valAx>
        <c:axId val="13823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64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 4: Request Buffer Size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 = 1000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Sheet1!$A$2:$A$34</c:f>
              <c:numCache>
                <c:formatCode>General</c:formatCode>
                <c:ptCount val="33"/>
                <c:pt idx="0">
                  <c:v>5</c:v>
                </c:pt>
                <c:pt idx="1">
                  <c:v>10</c:v>
                </c:pt>
                <c:pt idx="2">
                  <c:v>15</c:v>
                </c:pt>
                <c:pt idx="3">
                  <c:v>25</c:v>
                </c:pt>
                <c:pt idx="4">
                  <c:v>35</c:v>
                </c:pt>
                <c:pt idx="5">
                  <c:v>45</c:v>
                </c:pt>
                <c:pt idx="6">
                  <c:v>55</c:v>
                </c:pt>
                <c:pt idx="7">
                  <c:v>65</c:v>
                </c:pt>
                <c:pt idx="8">
                  <c:v>75</c:v>
                </c:pt>
                <c:pt idx="9">
                  <c:v>85</c:v>
                </c:pt>
                <c:pt idx="10">
                  <c:v>95</c:v>
                </c:pt>
                <c:pt idx="11">
                  <c:v>105</c:v>
                </c:pt>
                <c:pt idx="12">
                  <c:v>115</c:v>
                </c:pt>
                <c:pt idx="13">
                  <c:v>125</c:v>
                </c:pt>
                <c:pt idx="14">
                  <c:v>135</c:v>
                </c:pt>
                <c:pt idx="15">
                  <c:v>145</c:v>
                </c:pt>
                <c:pt idx="16">
                  <c:v>155</c:v>
                </c:pt>
                <c:pt idx="17">
                  <c:v>165</c:v>
                </c:pt>
                <c:pt idx="18">
                  <c:v>175</c:v>
                </c:pt>
                <c:pt idx="19">
                  <c:v>185</c:v>
                </c:pt>
                <c:pt idx="20">
                  <c:v>200</c:v>
                </c:pt>
                <c:pt idx="21">
                  <c:v>250</c:v>
                </c:pt>
                <c:pt idx="22">
                  <c:v>300</c:v>
                </c:pt>
                <c:pt idx="23">
                  <c:v>400</c:v>
                </c:pt>
                <c:pt idx="24">
                  <c:v>500</c:v>
                </c:pt>
                <c:pt idx="25">
                  <c:v>600</c:v>
                </c:pt>
                <c:pt idx="26">
                  <c:v>700</c:v>
                </c:pt>
                <c:pt idx="27">
                  <c:v>800</c:v>
                </c:pt>
                <c:pt idx="28">
                  <c:v>900</c:v>
                </c:pt>
                <c:pt idx="29">
                  <c:v>1000</c:v>
                </c:pt>
                <c:pt idx="30">
                  <c:v>1500</c:v>
                </c:pt>
                <c:pt idx="31">
                  <c:v>2000</c:v>
                </c:pt>
                <c:pt idx="32">
                  <c:v>2500</c:v>
                </c:pt>
              </c:numCache>
            </c:numRef>
          </c:cat>
          <c:val>
            <c:numRef>
              <c:f>Sheet1!$B$2:$B$34</c:f>
              <c:numCache>
                <c:formatCode>General</c:formatCode>
                <c:ptCount val="33"/>
                <c:pt idx="0">
                  <c:v>25.146222000000002</c:v>
                </c:pt>
                <c:pt idx="1">
                  <c:v>12.52003</c:v>
                </c:pt>
                <c:pt idx="2">
                  <c:v>8.3288499999999992</c:v>
                </c:pt>
                <c:pt idx="3">
                  <c:v>5.0090519999999996</c:v>
                </c:pt>
                <c:pt idx="4">
                  <c:v>3.597067</c:v>
                </c:pt>
                <c:pt idx="5">
                  <c:v>2.810133</c:v>
                </c:pt>
                <c:pt idx="6">
                  <c:v>2.2996629999999998</c:v>
                </c:pt>
                <c:pt idx="7">
                  <c:v>1.9501029999999999</c:v>
                </c:pt>
                <c:pt idx="8">
                  <c:v>1.664833</c:v>
                </c:pt>
                <c:pt idx="9">
                  <c:v>1.4055519999999999</c:v>
                </c:pt>
                <c:pt idx="10">
                  <c:v>1.2661420000000001</c:v>
                </c:pt>
                <c:pt idx="11">
                  <c:v>1.1526099999999999</c:v>
                </c:pt>
                <c:pt idx="12">
                  <c:v>1.058846</c:v>
                </c:pt>
                <c:pt idx="13">
                  <c:v>0.97452499999999997</c:v>
                </c:pt>
                <c:pt idx="14">
                  <c:v>0.909918</c:v>
                </c:pt>
                <c:pt idx="15">
                  <c:v>0.85155199999999998</c:v>
                </c:pt>
                <c:pt idx="16">
                  <c:v>0.82732600000000001</c:v>
                </c:pt>
                <c:pt idx="17">
                  <c:v>0.78392600000000001</c:v>
                </c:pt>
                <c:pt idx="18">
                  <c:v>0.73560700000000001</c:v>
                </c:pt>
                <c:pt idx="19">
                  <c:v>0.70140000000000002</c:v>
                </c:pt>
                <c:pt idx="20">
                  <c:v>0.64941899999999997</c:v>
                </c:pt>
                <c:pt idx="21">
                  <c:v>0.52423500000000001</c:v>
                </c:pt>
                <c:pt idx="22">
                  <c:v>0.44463999999999998</c:v>
                </c:pt>
                <c:pt idx="23">
                  <c:v>0.34636400000000001</c:v>
                </c:pt>
                <c:pt idx="24">
                  <c:v>0.28712900000000002</c:v>
                </c:pt>
                <c:pt idx="25">
                  <c:v>0.256133</c:v>
                </c:pt>
                <c:pt idx="26">
                  <c:v>0.242118</c:v>
                </c:pt>
                <c:pt idx="27">
                  <c:v>0.23907800000000001</c:v>
                </c:pt>
                <c:pt idx="28">
                  <c:v>0.243892</c:v>
                </c:pt>
                <c:pt idx="29">
                  <c:v>0.27063500000000001</c:v>
                </c:pt>
                <c:pt idx="30">
                  <c:v>0.96035199999999998</c:v>
                </c:pt>
                <c:pt idx="31">
                  <c:v>1.5576920000000001</c:v>
                </c:pt>
                <c:pt idx="32">
                  <c:v>2.0565380000000002</c:v>
                </c:pt>
              </c:numCache>
            </c:numRef>
          </c:val>
          <c:smooth val="0"/>
          <c:extLst>
            <c:ext xmlns:c16="http://schemas.microsoft.com/office/drawing/2014/chart" uri="{C3380CC4-5D6E-409C-BE32-E72D297353CC}">
              <c16:uniqueId val="{00000000-9DB2-044B-8FB0-3D29D35CCA5F}"/>
            </c:ext>
          </c:extLst>
        </c:ser>
        <c:dLbls>
          <c:showLegendKey val="0"/>
          <c:showVal val="0"/>
          <c:showCatName val="0"/>
          <c:showSerName val="0"/>
          <c:showPercent val="0"/>
          <c:showBubbleSize val="0"/>
        </c:dLbls>
        <c:marker val="1"/>
        <c:smooth val="0"/>
        <c:axId val="1288646591"/>
        <c:axId val="1382313935"/>
      </c:lineChart>
      <c:catAx>
        <c:axId val="1288646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Worker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13935"/>
        <c:crosses val="autoZero"/>
        <c:auto val="1"/>
        <c:lblAlgn val="ctr"/>
        <c:lblOffset val="100"/>
        <c:noMultiLvlLbl val="0"/>
      </c:catAx>
      <c:valAx>
        <c:axId val="13823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64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PA5 b=20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1279671</c:v>
                </c:pt>
                <c:pt idx="1">
                  <c:v>678629</c:v>
                </c:pt>
                <c:pt idx="2">
                  <c:v>538901</c:v>
                </c:pt>
                <c:pt idx="3">
                  <c:v>668161</c:v>
                </c:pt>
                <c:pt idx="4">
                  <c:v>615470</c:v>
                </c:pt>
              </c:numCache>
            </c:numRef>
          </c:val>
          <c:smooth val="0"/>
          <c:extLst>
            <c:ext xmlns:c16="http://schemas.microsoft.com/office/drawing/2014/chart" uri="{C3380CC4-5D6E-409C-BE32-E72D297353CC}">
              <c16:uniqueId val="{00000000-91FD-484A-AB13-C256D47F43CB}"/>
            </c:ext>
          </c:extLst>
        </c:ser>
        <c:dLbls>
          <c:showLegendKey val="0"/>
          <c:showVal val="0"/>
          <c:showCatName val="0"/>
          <c:showSerName val="0"/>
          <c:showPercent val="0"/>
          <c:showBubbleSize val="0"/>
        </c:dLbls>
        <c:marker val="1"/>
        <c:smooth val="0"/>
        <c:axId val="681989984"/>
        <c:axId val="681314784"/>
      </c:lineChart>
      <c:catAx>
        <c:axId val="6819899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314784"/>
        <c:crosses val="autoZero"/>
        <c:auto val="1"/>
        <c:lblAlgn val="ctr"/>
        <c:lblOffset val="100"/>
        <c:noMultiLvlLbl val="0"/>
      </c:catAx>
      <c:valAx>
        <c:axId val="68131478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98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PA5 b=100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1278444</c:v>
                </c:pt>
                <c:pt idx="1">
                  <c:v>675720</c:v>
                </c:pt>
                <c:pt idx="2">
                  <c:v>529626</c:v>
                </c:pt>
                <c:pt idx="3">
                  <c:v>455965</c:v>
                </c:pt>
                <c:pt idx="4">
                  <c:v>450081</c:v>
                </c:pt>
              </c:numCache>
            </c:numRef>
          </c:val>
          <c:smooth val="0"/>
          <c:extLst>
            <c:ext xmlns:c16="http://schemas.microsoft.com/office/drawing/2014/chart" uri="{C3380CC4-5D6E-409C-BE32-E72D297353CC}">
              <c16:uniqueId val="{00000000-FE34-C947-9234-DFAF64F9CBA3}"/>
            </c:ext>
          </c:extLst>
        </c:ser>
        <c:dLbls>
          <c:showLegendKey val="0"/>
          <c:showVal val="0"/>
          <c:showCatName val="0"/>
          <c:showSerName val="0"/>
          <c:showPercent val="0"/>
          <c:showBubbleSize val="0"/>
        </c:dLbls>
        <c:marker val="1"/>
        <c:smooth val="0"/>
        <c:axId val="681989984"/>
        <c:axId val="681314784"/>
      </c:lineChart>
      <c:catAx>
        <c:axId val="6819899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314784"/>
        <c:crosses val="autoZero"/>
        <c:auto val="1"/>
        <c:lblAlgn val="ctr"/>
        <c:lblOffset val="100"/>
        <c:noMultiLvlLbl val="0"/>
      </c:catAx>
      <c:valAx>
        <c:axId val="68131478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98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PA5 b=200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1277621</c:v>
                </c:pt>
                <c:pt idx="1">
                  <c:v>679061</c:v>
                </c:pt>
                <c:pt idx="2">
                  <c:v>514181</c:v>
                </c:pt>
                <c:pt idx="3">
                  <c:v>469671</c:v>
                </c:pt>
                <c:pt idx="4">
                  <c:v>446839</c:v>
                </c:pt>
              </c:numCache>
            </c:numRef>
          </c:val>
          <c:smooth val="0"/>
          <c:extLst>
            <c:ext xmlns:c16="http://schemas.microsoft.com/office/drawing/2014/chart" uri="{C3380CC4-5D6E-409C-BE32-E72D297353CC}">
              <c16:uniqueId val="{00000000-4C49-5445-A1F7-8A5F23C915C3}"/>
            </c:ext>
          </c:extLst>
        </c:ser>
        <c:dLbls>
          <c:showLegendKey val="0"/>
          <c:showVal val="0"/>
          <c:showCatName val="0"/>
          <c:showSerName val="0"/>
          <c:showPercent val="0"/>
          <c:showBubbleSize val="0"/>
        </c:dLbls>
        <c:marker val="1"/>
        <c:smooth val="0"/>
        <c:axId val="681989984"/>
        <c:axId val="681314784"/>
      </c:lineChart>
      <c:catAx>
        <c:axId val="6819899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314784"/>
        <c:crosses val="autoZero"/>
        <c:auto val="1"/>
        <c:lblAlgn val="ctr"/>
        <c:lblOffset val="100"/>
        <c:noMultiLvlLbl val="0"/>
      </c:catAx>
      <c:valAx>
        <c:axId val="68131478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98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Hakimi</dc:creator>
  <cp:keywords/>
  <dc:description/>
  <cp:lastModifiedBy>Murtaza Hakimi</cp:lastModifiedBy>
  <cp:revision>6</cp:revision>
  <dcterms:created xsi:type="dcterms:W3CDTF">2018-11-12T05:11:00Z</dcterms:created>
  <dcterms:modified xsi:type="dcterms:W3CDTF">2018-11-12T05:30:00Z</dcterms:modified>
</cp:coreProperties>
</file>