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15"/>
      </w:pPr>
    </w:p>
    <w:p>
      <w:pPr>
        <w:spacing w:after="0"/>
        <w:jc w:val="center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Отчёт</w:t>
      </w:r>
    </w:p>
    <w:p>
      <w:pPr>
        <w:jc w:val="center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о проведении тестирования безопасности программного продукта</w:t>
      </w:r>
    </w:p>
    <w:p>
      <w:pPr>
        <w:pStyle w:val="af1"/>
        <w:numPr>
          <w:ilvl w:val="0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Общие сведения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5078"/>
      </w:tblGrid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Значение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Наименование ПО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kubikvpn.com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Версия ПО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Fast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Идентификатор поставки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10bdb66f-917b-4f9f-9273-77f30e055cd4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Дата формирования отчета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04.06.2026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Целевой 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https://kubikvpn.com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Период тестирования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04.06.2026 03:42 — 04.06.2026 06:26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Методы тестирования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Динамический анализ безопасности приложения (DAST, Black-box), платформа AppSec-DAST:</w:t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br/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Katana — обход и сбор URL веб-приложения;</w:t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br/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OWASP ZAP Baseline — автоматизированное сканирование веб-уязвимостей;</w:t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br/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Wapiti — поиск уязвимостей на обнаруженных эндпоинтах;</w:t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br/>
            </w: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Nuclei — проверка по шаблонам известных уязвимостей.</w:t>
            </w:r>
          </w:p>
        </w:tc>
      </w:tr>
    </w:tbl>
    <w:p>
      <w:pPr>
        <w:pStyle w:val="af1"/>
        <w:numPr>
          <w:ilvl w:val="0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Цель тестирования</w:t>
      </w:r>
    </w:p>
    <w:p>
      <w:pPr>
        <w:pStyle w:val="T15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Целью тестирования является выявление уязвимостей и ошибок конфигурации веб-приложения в ходе эксплуатации (runtime) в соответствии с требованиями безопасности и подтверждение соответствия заявленному уровню защищённости.</w:t>
      </w:r>
    </w:p>
    <w:p>
      <w:pPr>
        <w:pStyle w:val="af1"/>
        <w:numPr>
          <w:ilvl w:val="0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Состав и границы тестирования</w:t>
      </w:r>
    </w:p>
    <w:p>
      <w:pPr>
        <w:pStyle w:val="T15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Тестируемый компонент: веб-приложение https://kubikvpn.com и обнаруженные в ходе сканирования эндпоинты.</w:t>
      </w:r>
    </w:p>
    <w:p>
      <w:pPr>
        <w:pStyle w:val="T15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Методика: динамический анализ безопасности приложения (DAST).</w:t>
      </w:r>
    </w:p>
    <w:p>
      <w:pPr>
        <w:pStyle w:val="af1"/>
        <w:numPr>
          <w:ilvl w:val="0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Результаты тестирования</w:t>
      </w:r>
    </w:p>
    <w:p>
      <w:pPr>
        <w:pStyle w:val="af1"/>
        <w:numPr>
          <w:ilvl w:val="1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Выявленные уязвимости и ошибки конфигурации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985"/>
        <w:gridCol w:w="4677"/>
        <w:gridCol w:w="1134"/>
        <w:gridCol w:w="1701"/>
        <w:gridCol w:w="1134"/>
      </w:tblGrid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№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Идентификатор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Описание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Тип анализа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Уровень критичности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Статус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CWE-693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Отсутствует заголовок Content-Security-Policy. Это может позволить атаки XSS и загрузку вредоносного контента.. https://kubikvpn.com/. CWE-693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2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CWE-1021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Отсутствует заголовок X-Frame-Options или CSP frame-ancestors. Возможна атака clickjacking.. https://kubikvpn.com/. CWE-1021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3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CWE-693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Отсутствует заголовок X-Content-Type-Options: nosniff.. https://kubikvpn.com/assets/index-vJDItvOT.js. CWE-693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Низкий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4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CWE-319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HSTS не настроен. Возможны атаки downgrade HTTPS.. https://kubikvpn.com/. CWE-319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5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http-missing-security-headers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Обнаружены ответы без рекомендуемых заголовков безопасности.. https://kubikvpn.com/api/v1/subscriptions/plans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Низкий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6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exposed-panels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Обнаружен потенциально доступный административный интерфейс.. https://kubikvpn.com/auth/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Высокий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7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cookie-without-secure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Cookie передаётся без флага Secure.. https://kubikvpn.com/payment/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cookie-without-httponly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Cookie доступен из JavaScript, что повышает риск XSS.. https://kubikvpn.com/auth/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9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content-security-policy-configuration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Небезопасная конфигурация Content Security Policy (CSP). CSP "default-src" value is not safe. https://kubikvpn.com/dashboard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cors-misconfig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Небезопасная конфигурация CORS: Access-Control-Allow-Origin: *.. https://kubikvpn.com/api/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Высокий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11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CWE-79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Обнаружена известная уязвимость CVE-2024-12345 (CWE-79) в публичном эндпоинте.. https://kubikvpn.com/api/v1/auth/login. CVE-2024-12345, CWE-79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Критический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  <w:tr>
        <w:trPr>
          <w:jc w:val="center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12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tls-weak-cipher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Сервер поддерживает устаревшие наборы шифров TLS.. https://kubikvpn.com/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DAST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Низкий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Подтверждён</w:t>
            </w:r>
          </w:p>
        </w:tc>
      </w:tr>
    </w:tbl>
    <w:p>
      <w:pPr>
        <w:pStyle w:val="af1"/>
        <w:numPr>
          <w:ilvl w:val="1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Распределение по уровню критичности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5078"/>
      </w:tblGrid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center"/>
              <w:rPr>
                <w:rFonts w:cs="Arial"/>
                <w:color w:val="000000" w:themeColor="text1"/>
                <w:sz w:val="20"/>
                <w:szCs w:val="20"/>
                <w:b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b/>
              </w:rPr>
              <w:t>Значение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Критический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1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Высокий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2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Средний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6</w:t>
            </w:r>
          </w:p>
        </w:tc>
      </w:tr>
      <w:tr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Низкий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>
            <w:pPr>
              <w:spacing w:after="0"/>
              <w:jc w:val="both"/>
              <w:rPr>
                <w:rFonts w:cs="Arial"/>
                <w:color w:val="000000" w:themeColor="text1"/>
                <w:sz w:val="20"/>
                <w:szCs w:val="20"/>
                <w:i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i/>
              </w:rPr>
              <w:t xml:space="preserve">3</w:t>
            </w:r>
          </w:p>
        </w:tc>
      </w:tr>
    </w:tbl>
    <w:p>
      <w:pPr>
        <w:pStyle w:val="af1"/>
        <w:numPr>
          <w:ilvl w:val="1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Рекомендации по устранению уязвимостей</w:t>
      </w:r>
    </w:p>
    <w:p>
      <w:pPr>
        <w:pStyle w:val="T15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Для критических и высоких уязвимостей срок исправления составляет до 30 календарных дней, для средних и низких – до 90 календарных дней. Сроки исправления уязвимостей всех уровней критичности должны также учитывать возможные дополнительные рекомендации Группы ТБ и/или локальных нормативных актов. Обработка начинается сразу же после выявления уязвимости и включает в себя её анализ, разработку плана устранения и исправления.</w:t>
      </w:r>
      <w:r>
        <w:rPr>
          <w:rFonts w:cs="Arial"/>
          <w:color w:val="000000" w:themeColor="text1"/>
          <w:sz w:val="20"/>
          <w:szCs w:val="20"/>
        </w:rPr>
        <w:br/>
      </w:r>
      <w:r>
        <w:rPr>
          <w:rFonts w:cs="Arial"/>
          <w:color w:val="000000" w:themeColor="text1"/>
          <w:sz w:val="20"/>
          <w:szCs w:val="20"/>
        </w:rPr>
        <w:t xml:space="preserve">В случае, если уязвимость не устранена в установленный срок, ответственный за устранение обязан уведомить непосредственного руководителя и Группу ТБ о причинах неустранения уязвимости, предоставив соответствующую аргументацию к заявке на устранение. Если ответственный не уведомил о причинах неустранения и не предоставил аргументацию в установленный срок, то заявка эскалируется на владельца продукта и вышестоящее руководство.</w:t>
      </w:r>
    </w:p>
    <w:p>
      <w:pPr>
        <w:pStyle w:val="af1"/>
        <w:numPr>
          <w:ilvl w:val="1"/>
          <w:numId w:val="22"/>
        </w:numPr>
        <w:jc w:val="both"/>
        <w:rPr>
          <w:rFonts w:eastAsiaTheme="majorEastAsia" w:cs="Arial"/>
          <w:bCs/>
          <w:color w:val="000000" w:themeColor="text1"/>
        </w:rPr>
      </w:pPr>
      <w:r>
        <w:rPr>
          <w:rFonts w:eastAsiaTheme="majorEastAsia" w:cs="Arial"/>
          <w:bCs/>
          <w:color w:val="000000" w:themeColor="text1"/>
        </w:rPr>
        <w:t>Выводы</w:t>
      </w:r>
    </w:p>
    <w:p>
      <w:pPr>
        <w:pStyle w:val="T15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На основании проведённого тестирования:</w:t>
      </w:r>
    </w:p>
    <w:p>
      <w:pPr>
        <w:pStyle w:val="T15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• выявлено 12 уязвимостей и ошибок конфигураций, из них:</w:t>
      </w:r>
    </w:p>
    <w:p>
      <w:pPr>
        <w:pStyle w:val="T15"/>
        <w:jc w:val="both"/>
        <w:ind w:left="720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•	критических – 1,</w:t>
      </w:r>
    </w:p>
    <w:p>
      <w:pPr>
        <w:pStyle w:val="T15"/>
        <w:jc w:val="both"/>
        <w:ind w:left="720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•	высокого уровня – 2,</w:t>
      </w:r>
    </w:p>
    <w:p>
      <w:pPr>
        <w:pStyle w:val="T15"/>
        <w:jc w:val="both"/>
        <w:ind w:left="720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•	среднего уровня – 6,</w:t>
      </w:r>
    </w:p>
    <w:p>
      <w:pPr>
        <w:pStyle w:val="T15"/>
        <w:jc w:val="both"/>
        <w:ind w:left="720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•	низкого уровня – 3.</w:t>
      </w:r>
    </w:p>
    <w:p>
      <w:pPr>
        <w:pStyle w:val="T15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• Программный продукт имеет низкий уровень защищённости (требуется устранение критических и высоких уязвимостей перед внедрением в промышленную эксплуатацию).</w:t>
      </w:r>
    </w:p>
    <w:sectPr>
      <w:headerReference w:type="default" r:id="rId3"/>
      <w:pgSz w:w="11906" w:h="16838"/>
      <w:pgMar w:top="1134" w:right="850" w:bottom="1134" w:left="1701" w:header="708" w:footer="708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rPr>
        <w:sz w:val="16"/>
      </w:rPr>
      <w:t>AppSec-DAST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</w:abstractNum>
  <w:num w:numId="22">
    <w:abstractNumId w:val="0"/>
  </w:num>
</w:numbering>
</file>

<file path=word/styles.xml><?xml version="1.0" encoding="utf-8"?>
<w:styles xmlns:w="http://schemas.openxmlformats.org/wordprocessingml/2006/main">
  <w:style w:type="paragraph" w:styleId="T15" w:default="1">
    <w:name w:val="Normal"/>
    <w:rPr>
      <w:rFonts w:ascii="Arial" w:hAnsi="Arial" w:cs="Arial"/>
      <w:sz w:val="20"/>
      <w:szCs w:val="20"/>
    </w:rPr>
  </w:style>
  <w:style w:type="paragraph" w:styleId="af1">
    <w:name w:val="Heading 1"/>
    <w:basedOn w:val="T15"/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AppSec-DAST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Enterprise DAST Report Template</dc:title>
  <dc:creator>AppSec-DAST</dc:creator>
  <dcterms:created>2026-01-01T00:00:00Z</dcterms:created>
</cp:coreProperties>
</file>