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1016D">
      <w:pPr>
        <w:pStyle w:val="5"/>
        <w:keepNext w:val="0"/>
        <w:keepLines w:val="0"/>
        <w:widowControl/>
        <w:suppressLineNumbers w:val="0"/>
        <w:pBdr>
          <w:bottom w:val="single" w:color="2B44B1" w:sz="48" w:space="0"/>
        </w:pBdr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/>
        </w:rPr>
        <w:t> </w:t>
      </w:r>
    </w:p>
    <w:p w14:paraId="2BAA9C63">
      <w:pPr>
        <w:pStyle w:val="5"/>
        <w:keepNext w:val="0"/>
        <w:keepLines w:val="0"/>
        <w:widowControl/>
        <w:suppressLineNumbers w:val="0"/>
        <w:pBdr>
          <w:bottom w:val="single" w:color="2641B5" w:sz="48" w:space="0"/>
        </w:pBdr>
        <w:spacing w:before="0" w:beforeAutospacing="0" w:after="0" w:afterAutospacing="0" w:line="18" w:lineRule="atLeast"/>
        <w:ind w:left="0" w:right="0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56"/>
          <w:szCs w:val="56"/>
          <w:vertAlign w:val="baseline"/>
        </w:rPr>
        <w:t>微众银行-微业贷</w:t>
      </w:r>
    </w:p>
    <w:p w14:paraId="24F85795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240" w:beforeAutospacing="0" w:after="240" w:afterAutospacing="0" w:line="20" w:lineRule="atLeast"/>
        <w:ind w:left="968" w:right="0" w:hanging="1060" w:hangingChars="22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4"/>
          <w:szCs w:val="44"/>
          <w:vertAlign w:val="baseline"/>
        </w:rPr>
        <w:t>产品要素</w:t>
      </w:r>
    </w:p>
    <w:p w14:paraId="2FAFBB3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 w:line="18" w:lineRule="atLeast"/>
        <w:ind w:left="0" w:right="0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贷款金额：500万</w:t>
      </w:r>
    </w:p>
    <w:p w14:paraId="0E8F6C6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2、贷款利息：年化：3.65%-18.25%</w:t>
      </w:r>
    </w:p>
    <w:p w14:paraId="5871E07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3、贷款期限：12/24/36期</w:t>
      </w:r>
    </w:p>
    <w:p w14:paraId="4494297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4、还款方式：等额本金、先息后本、随借随还</w:t>
      </w:r>
    </w:p>
    <w:p w14:paraId="7D3E1C3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5、放款方式：放款对公账户</w:t>
      </w:r>
    </w:p>
    <w:p w14:paraId="67E072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76FA257B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个人要求</w:t>
      </w:r>
    </w:p>
    <w:p w14:paraId="7244917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1、申请人年龄：18-70周岁 </w:t>
      </w:r>
    </w:p>
    <w:p w14:paraId="13FB691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2、法人作为贷款申请人(有无持股皆可） </w:t>
      </w:r>
    </w:p>
    <w:p w14:paraId="6873934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2"/>
          <w:szCs w:val="22"/>
          <w:vertAlign w:val="baseline"/>
        </w:rPr>
        <w:t xml:space="preserve">PS:申请人只能是企业法定代表人;税局信息与法人信息一致且完成实名制 </w:t>
      </w:r>
    </w:p>
    <w:p w14:paraId="323302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3、具有完全民事行为能力的中国公民 </w:t>
      </w:r>
    </w:p>
    <w:p w14:paraId="7F2E128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4、户籍地限制：企业法人不能为外籍（含港澳台地区）法人</w:t>
      </w:r>
    </w:p>
    <w:p w14:paraId="3E72CF4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5、纳税人状态名称不能取以下的值：非正常、清算、注销、报验。</w:t>
      </w:r>
    </w:p>
    <w:p w14:paraId="038E333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8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400F1481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企业要求</w:t>
      </w:r>
    </w:p>
    <w:p w14:paraId="409CE54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1、申请企业营业执照满2年，正常纳税18个月以上</w:t>
      </w:r>
    </w:p>
    <w:p w14:paraId="76B24091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2、企业纳税等级 A、B、C、M </w:t>
      </w:r>
    </w:p>
    <w:p w14:paraId="378361D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2、近两年任一年度增值税纳税额不能为零</w:t>
      </w:r>
    </w:p>
    <w:p w14:paraId="1DD4759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3、近 6个月税务方面不存在逾期未缴款;</w:t>
      </w:r>
    </w:p>
    <w:p w14:paraId="0F10028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4、企业类型限制：企业注册类型不能是外资、港台合资和合伙企业</w:t>
      </w:r>
    </w:p>
    <w:p w14:paraId="7491A7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6"/>
          <w:szCs w:val="16"/>
          <w:vertAlign w:val="baseline"/>
          <w:lang w:val="en-US"/>
        </w:rPr>
        <w:t> </w:t>
      </w:r>
    </w:p>
    <w:p w14:paraId="61743AB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16"/>
          <w:szCs w:val="16"/>
          <w:vertAlign w:val="baseline"/>
          <w:lang w:val="en-US"/>
        </w:rPr>
        <w:t> </w:t>
      </w:r>
    </w:p>
    <w:p w14:paraId="7D61FABF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征信要求 </w:t>
      </w:r>
    </w:p>
    <w:p w14:paraId="55DF366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个人征信</w:t>
      </w:r>
    </w:p>
    <w:p w14:paraId="45858C7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1、企业及企业法定代表人当前不能有逾期贷款记录</w:t>
      </w:r>
    </w:p>
    <w:p w14:paraId="2B76B3E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2、任何信用记录不能出现"冻结、呆账、止付"的状态;</w:t>
      </w:r>
    </w:p>
    <w:p w14:paraId="1FE394D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3、五级分类不可显示为次级、可疑损失，不可出现担保人代偿、以资抵债;</w:t>
      </w:r>
    </w:p>
    <w:p w14:paraId="0DA0629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4、对外担保贷款状态显示不可为次级、可疑、损失;</w:t>
      </w:r>
    </w:p>
    <w:p w14:paraId="1AC07B4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5、半年无2，一年无3，两年无4，近三个月查询次数不超过8次； </w:t>
      </w:r>
    </w:p>
    <w:p w14:paraId="788AFFF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 xml:space="preserve">6、公司法人无诉讼信息 </w:t>
      </w:r>
    </w:p>
    <w:p w14:paraId="78407AB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7634F82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企业征信:</w:t>
      </w:r>
    </w:p>
    <w:p w14:paraId="67E87DF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信用类的负债不超过500万(抵押类借款不计算）</w:t>
      </w:r>
    </w:p>
    <w:p w14:paraId="35F68E7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7D11DDE9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准入区域</w:t>
      </w:r>
    </w:p>
    <w:p w14:paraId="0313798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北京市、天津市、上海市、江苏省、浙江省、福建省、广东省、重庆市</w:t>
      </w:r>
    </w:p>
    <w:p w14:paraId="6E8368C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河北省：石家庄市、唐山市、邯郸市、邢台市、保定市、承德市、沧州市、廊坊市、衡水市</w:t>
      </w:r>
    </w:p>
    <w:p w14:paraId="5C4A8A1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山西省：太原市、大同市、长治市、晋城市、运城市、忻州市、临汾市</w:t>
      </w:r>
    </w:p>
    <w:p w14:paraId="004251C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内蒙古自治区：呼和浩特市、鄂尔多斯市</w:t>
      </w:r>
    </w:p>
    <w:p w14:paraId="523F413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辽宁省：沈阳市</w:t>
      </w:r>
    </w:p>
    <w:p w14:paraId="08EC11A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吉林省：长春市</w:t>
      </w:r>
    </w:p>
    <w:p w14:paraId="0AA6157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安徽省：合肥市、芜湖市、淮南市、淮北市、铜陵市、安庆市、滁州市、阜阳市、宿州市、六安市、亳州市</w:t>
      </w:r>
    </w:p>
    <w:p w14:paraId="0F0059A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江西省：南昌市、九江市、新余市、鹰潭市、赣州市、吉安市、宜春市、抚州市、上饶市</w:t>
      </w:r>
    </w:p>
    <w:p w14:paraId="3D4B0D2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山东省：济南市、青岛市、淄博市、枣庄市、东营市、烟台市、潍坊市、济宁市、泰安市、威海市、日照市、临沂市、德州市、滨州市、菏泽市</w:t>
      </w:r>
    </w:p>
    <w:p w14:paraId="2ED65A8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河南省：郑州市、开封市、洛阳市、安阳市、新乡市、焦作市、许昌市、漯河市、三门峡市、南阳市、商丘市、信阳市、周口市、驻马店市</w:t>
      </w:r>
    </w:p>
    <w:p w14:paraId="30BDA67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湖北省：武汉市、黄石市、十堰市、宜昌市、襄阳市、鄂州市、荆门市、孝感市、荆州市、黄冈市、咸宁市、随州市</w:t>
      </w:r>
    </w:p>
    <w:p w14:paraId="0F500F7F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湖南省：长沙市、株洲市、衡阳市、岳阳市、常德市、益阳市、郴州市、娄底市</w:t>
      </w:r>
    </w:p>
    <w:p w14:paraId="32A52F6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广西壮族自治区：南宁市、柳州市、桂林市、北海市、钦州市</w:t>
      </w:r>
    </w:p>
    <w:p w14:paraId="05C098A5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海南省：海口市</w:t>
      </w:r>
    </w:p>
    <w:p w14:paraId="7C0E0C9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四川省：成都市、自贡市、攀枝花市、泸州市、德阳市、绵阳市、遂宁市、内江市、乐山市、南充市、眉山市、宜宾市</w:t>
      </w:r>
    </w:p>
    <w:p w14:paraId="2D8AF546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贵州省：贵阳市、遵义市、毕节市</w:t>
      </w:r>
    </w:p>
    <w:p w14:paraId="3FAFD9D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云南省：昆明市、曲靖市、玉溪市</w:t>
      </w:r>
    </w:p>
    <w:p w14:paraId="03AF2339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 w:line="15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15A6E"/>
          <w:spacing w:val="0"/>
          <w:w w:val="100"/>
          <w:sz w:val="28"/>
          <w:szCs w:val="28"/>
          <w:shd w:val="clear" w:fill="FFFFFF"/>
          <w:vertAlign w:val="baseline"/>
        </w:rPr>
        <w:t>陕西省：西安市、宝鸡市、咸阳市、渭南市、延安市、汉中市、榆林市</w:t>
      </w:r>
    </w:p>
    <w:p w14:paraId="0D5551F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50F1D3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0FB9EFF8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禁入行业</w:t>
      </w:r>
    </w:p>
    <w:p w14:paraId="159A88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煤炭 造纸 金融 化工 国际组织 房地产 金融服务等</w:t>
      </w:r>
    </w:p>
    <w:p w14:paraId="4CD1B3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03A0CF2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4D4A8337">
      <w:pPr>
        <w:pStyle w:val="2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44"/>
          <w:szCs w:val="44"/>
          <w:vertAlign w:val="baseline"/>
        </w:rPr>
        <w:t>操作指引</w:t>
      </w:r>
    </w:p>
    <w:p w14:paraId="0C0EDA7E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申请流程</w:t>
      </w:r>
    </w:p>
    <w:p w14:paraId="01A030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上传发票</w:t>
      </w:r>
    </w:p>
    <w:p w14:paraId="4CE2D38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1FF7ADB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5400040" cy="2992120"/>
            <wp:effectExtent l="0" t="0" r="10160" b="1016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A85E1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51B46B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实名认证</w:t>
      </w:r>
    </w:p>
    <w:p w14:paraId="597EC7C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400040" cy="2597785"/>
            <wp:effectExtent l="0" t="0" r="10160" b="8255"/>
            <wp:docPr id="7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F752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48346F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数据授权，企业认证</w:t>
      </w:r>
    </w:p>
    <w:p w14:paraId="4C72894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42284E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400040" cy="2327910"/>
            <wp:effectExtent l="0" t="0" r="10160" b="3810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7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0C032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5E2D600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等待审批结果</w:t>
      </w:r>
    </w:p>
    <w:p w14:paraId="2490398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400040" cy="2889885"/>
            <wp:effectExtent l="0" t="0" r="10160" b="5715"/>
            <wp:docPr id="8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907BF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4526153C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提款流程</w:t>
      </w:r>
    </w:p>
    <w:p w14:paraId="1513F60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1、进入提款页面，输入提款需求及账户信息</w:t>
      </w:r>
    </w:p>
    <w:p w14:paraId="6B97639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400040" cy="2444750"/>
            <wp:effectExtent l="0" t="0" r="10160" b="889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C48A7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2、人脸识别，等待审批结果</w:t>
      </w:r>
    </w:p>
    <w:p w14:paraId="498B3C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400040" cy="2583180"/>
            <wp:effectExtent l="0" t="0" r="10160" b="7620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E9DBC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51DF0063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28"/>
          <w:szCs w:val="28"/>
          <w:vertAlign w:val="baseline"/>
        </w:rPr>
        <w:t>还款方式</w:t>
      </w:r>
    </w:p>
    <w:p w14:paraId="3C08AA8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drawing>
          <wp:inline distT="0" distB="0" distL="114300" distR="114300">
            <wp:extent cx="5400040" cy="2393315"/>
            <wp:effectExtent l="0" t="0" r="10160" b="14605"/>
            <wp:docPr id="9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3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74E67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043CC965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0" w:lineRule="atLeast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常见问题</w:t>
      </w:r>
    </w:p>
    <w:p w14:paraId="58BF04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5400040" cy="2466340"/>
            <wp:effectExtent l="0" t="0" r="10160" b="2540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AE2F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drawing>
          <wp:inline distT="0" distB="0" distL="114300" distR="114300">
            <wp:extent cx="5400040" cy="2546985"/>
            <wp:effectExtent l="0" t="0" r="10160" b="13335"/>
            <wp:docPr id="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ADB28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bookmarkStart w:id="0" w:name="_GoBack"/>
      <w:r>
        <w:drawing>
          <wp:inline distT="0" distB="0" distL="114300" distR="114300">
            <wp:extent cx="5400040" cy="21790025"/>
            <wp:effectExtent l="0" t="0" r="10160" b="3175"/>
            <wp:docPr id="10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0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87DDE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07D3AC1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0"/>
          <w:szCs w:val="20"/>
          <w:vertAlign w:val="baseline"/>
          <w:lang w:val="en-US"/>
        </w:rPr>
        <w:t> </w:t>
      </w:r>
    </w:p>
    <w:p w14:paraId="2E5525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8ED116"/>
    <w:multiLevelType w:val="multilevel"/>
    <w:tmpl w:val="B68ED116"/>
    <w:lvl w:ilvl="0" w:tentative="0">
      <w:start w:val="1"/>
      <w:numFmt w:val="decimal"/>
      <w:lvlText w:val="%1、"/>
      <w:lvlJc w:val="left"/>
      <w:pPr>
        <w:ind w:left="720"/>
      </w:pPr>
      <w:rPr>
        <w:rFonts w:ascii="微软雅黑" w:hAnsi="微软雅黑" w:eastAsia="微软雅黑" w:cs="微软雅黑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FE3382E1"/>
    <w:multiLevelType w:val="multilevel"/>
    <w:tmpl w:val="FE3382E1"/>
    <w:lvl w:ilvl="0" w:tentative="0">
      <w:start w:val="1"/>
      <w:numFmt w:val="bullet"/>
      <w:lvlText w:val=""/>
      <w:lvlJc w:val="left"/>
      <w:pPr>
        <w:ind w:left="7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144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21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288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360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432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504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57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6480"/>
      </w:pPr>
      <w:rPr>
        <w:rFonts w:hint="default" w:ascii="Wingdings" w:hAnsi="Wingdings" w:eastAsia="Wingdings" w:cs="Wingdings"/>
      </w:rPr>
    </w:lvl>
  </w:abstractNum>
  <w:abstractNum w:abstractNumId="2">
    <w:nsid w:val="7AF8FEDA"/>
    <w:multiLevelType w:val="multilevel"/>
    <w:tmpl w:val="7AF8FEDA"/>
    <w:lvl w:ilvl="0" w:tentative="0">
      <w:start w:val="1"/>
      <w:numFmt w:val="chineseCounting"/>
      <w:lvlText w:val="%1、"/>
      <w:lvlJc w:val="left"/>
      <w:pPr>
        <w:ind w:left="720"/>
      </w:pPr>
      <w:rPr>
        <w:rFonts w:hint="eastAsia" w:ascii="宋体" w:hAnsi="宋体" w:eastAsia="宋体" w:cs="宋体"/>
      </w:rPr>
    </w:lvl>
    <w:lvl w:ilvl="1" w:tentative="0">
      <w:start w:val="1"/>
      <w:numFmt w:val="decimal"/>
      <w:lvlText w:val="%2、"/>
      <w:lvlJc w:val="left"/>
      <w:pPr>
        <w:ind w:left="1440"/>
      </w:pPr>
      <w:rPr>
        <w:rFonts w:hint="eastAsia" w:ascii="宋体" w:hAnsi="宋体" w:eastAsia="宋体" w:cs="宋体"/>
      </w:rPr>
    </w:lvl>
    <w:lvl w:ilvl="2" w:tentative="0">
      <w:start w:val="1"/>
      <w:numFmt w:val="lowerLetter"/>
      <w:lvlText w:val="%3)"/>
      <w:lvlJc w:val="left"/>
      <w:pPr>
        <w:ind w:left="2160"/>
      </w:pPr>
      <w:rPr>
        <w:rFonts w:hint="eastAsia" w:ascii="宋体" w:hAnsi="宋体" w:eastAsia="宋体" w:cs="宋体"/>
      </w:rPr>
    </w:lvl>
    <w:lvl w:ilvl="3" w:tentative="0">
      <w:start w:val="1"/>
      <w:numFmt w:val="chineseCounting"/>
      <w:lvlText w:val="%4、"/>
      <w:lvlJc w:val="left"/>
      <w:pPr>
        <w:ind w:left="2880"/>
      </w:pPr>
      <w:rPr>
        <w:rFonts w:hint="eastAsia" w:ascii="宋体" w:hAnsi="宋体" w:eastAsia="宋体" w:cs="宋体"/>
      </w:rPr>
    </w:lvl>
    <w:lvl w:ilvl="4" w:tentative="0">
      <w:start w:val="1"/>
      <w:numFmt w:val="decimal"/>
      <w:lvlText w:val="%5、"/>
      <w:lvlJc w:val="left"/>
      <w:pPr>
        <w:ind w:left="3600"/>
      </w:pPr>
      <w:rPr>
        <w:rFonts w:hint="eastAsia" w:ascii="宋体" w:hAnsi="宋体" w:eastAsia="宋体" w:cs="宋体"/>
      </w:rPr>
    </w:lvl>
    <w:lvl w:ilvl="5" w:tentative="0">
      <w:start w:val="1"/>
      <w:numFmt w:val="lowerLetter"/>
      <w:lvlText w:val="%6)"/>
      <w:lvlJc w:val="left"/>
      <w:pPr>
        <w:ind w:left="4320"/>
      </w:pPr>
      <w:rPr>
        <w:rFonts w:hint="eastAsia" w:ascii="宋体" w:hAnsi="宋体" w:eastAsia="宋体" w:cs="宋体"/>
      </w:rPr>
    </w:lvl>
    <w:lvl w:ilvl="6" w:tentative="0">
      <w:start w:val="1"/>
      <w:numFmt w:val="chineseCounting"/>
      <w:lvlText w:val="%7、"/>
      <w:lvlJc w:val="left"/>
      <w:pPr>
        <w:ind w:left="5040"/>
      </w:pPr>
      <w:rPr>
        <w:rFonts w:hint="eastAsia" w:ascii="宋体" w:hAnsi="宋体" w:eastAsia="宋体" w:cs="宋体"/>
      </w:rPr>
    </w:lvl>
    <w:lvl w:ilvl="7" w:tentative="0">
      <w:start w:val="1"/>
      <w:numFmt w:val="decimal"/>
      <w:lvlText w:val="%8、"/>
      <w:lvlJc w:val="left"/>
      <w:pPr>
        <w:ind w:left="5760"/>
      </w:pPr>
      <w:rPr>
        <w:rFonts w:hint="eastAsia" w:ascii="宋体" w:hAnsi="宋体" w:eastAsia="宋体" w:cs="宋体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4768CE"/>
    <w:rsid w:val="7A4768CE"/>
    <w:rsid w:val="7E78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湖南分公司</Company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2025-12-05T05:41:00Z</dcterms:created>
  <dc:creator>Administrator</dc:creator>
  <cp:lastModifiedBy>Administrator</cp:lastModifiedBy>
  <dcterms:modified xsi:type="dcterms:W3CDTF">2025-12-05T06:26:02Z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4D8E7556B0134BE584D453AEFC3526F1_11</vt:lpwstr>
  </property>
</Properties>
</file>