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0048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52"/>
          <w:szCs w:val="52"/>
          <w:vertAlign w:val="baseline"/>
        </w:rPr>
        <w:t>申请流程</w:t>
      </w:r>
    </w:p>
    <w:p w14:paraId="54D7365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进件流程</w:t>
      </w:r>
    </w:p>
    <w:p w14:paraId="339D7CE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057775" cy="2895600"/>
            <wp:effectExtent l="0" t="0" r="190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BFD2F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9CF597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010150" cy="3381375"/>
            <wp:effectExtent l="0" t="0" r="3810" b="1905"/>
            <wp:docPr id="1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CD8D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153025" cy="4295775"/>
            <wp:effectExtent l="0" t="0" r="13335" b="1905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469E6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六、提款流程</w:t>
      </w:r>
    </w:p>
    <w:p w14:paraId="0D27134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57800" cy="2686050"/>
            <wp:effectExtent l="0" t="0" r="0" b="1143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945F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562225"/>
            <wp:effectExtent l="0" t="0" r="5715" b="1333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2EE16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981575" cy="2819400"/>
            <wp:effectExtent l="0" t="0" r="1905" b="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6E3B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933950" cy="3257550"/>
            <wp:effectExtent l="0" t="0" r="3810" b="381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A9CC6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七、还款流程</w:t>
      </w:r>
    </w:p>
    <w:p w14:paraId="05B7364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3981450"/>
            <wp:effectExtent l="0" t="0" r="5715" b="1143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819E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  <w:lang w:val="en-US"/>
        </w:rPr>
        <w:t> </w:t>
      </w:r>
    </w:p>
    <w:p w14:paraId="4F69D2A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亿联银行还款</w:t>
      </w:r>
    </w:p>
    <w:p w14:paraId="1EBC63D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57800" cy="3124200"/>
            <wp:effectExtent l="0" t="0" r="0" b="0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4969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809875"/>
            <wp:effectExtent l="0" t="0" r="5715" b="9525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9AAF9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628900"/>
            <wp:effectExtent l="0" t="0" r="5715" b="7620"/>
            <wp:docPr id="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CF79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掌柜贷还款日每月10号</w:t>
      </w:r>
    </w:p>
    <w:p w14:paraId="2A11DE2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5F95388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41EE2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0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2025-12-05T08:36:06Z</dcterms:created>
  <dc:creator>Administrator</dc:creator>
  <cp:lastModifiedBy>Administrator</cp:lastModifiedBy>
  <dcterms:modified xsi:type="dcterms:W3CDTF">2025-12-05T08:37:31Z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E5E1BD0160EB490B96C34DE93BF4CA04_12</vt:lpwstr>
  </property>
</Properties>
</file>