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B6586">
      <w:pPr>
        <w:pStyle w:val="4"/>
        <w:keepNext w:val="0"/>
        <w:keepLines w:val="0"/>
        <w:widowControl/>
        <w:suppressLineNumbers w:val="0"/>
        <w:pBdr>
          <w:bottom w:val="single" w:color="2841AD" w:sz="48" w:space="0"/>
        </w:pBdr>
        <w:spacing w:before="60" w:beforeAutospacing="0" w:after="60" w:afterAutospacing="0" w:line="18" w:lineRule="atLeast"/>
        <w:ind w:left="0" w:right="0"/>
        <w:jc w:val="both"/>
      </w:pPr>
      <w:r>
        <w:rPr>
          <w:rFonts w:hint="eastAsia" w:ascii="宋体" w:hAnsi="宋体" w:eastAsia="宋体" w:cs="宋体"/>
          <w:b w:val="0"/>
          <w:bCs w:val="0"/>
          <w:i w:val="0"/>
          <w:iCs w:val="0"/>
          <w:color w:val="333333"/>
          <w:spacing w:val="0"/>
          <w:w w:val="100"/>
          <w:sz w:val="32"/>
          <w:szCs w:val="32"/>
          <w:vertAlign w:val="baseline"/>
          <w:lang w:val="en-US"/>
        </w:rPr>
        <w:t> </w:t>
      </w:r>
    </w:p>
    <w:p w14:paraId="1FDAAC8B">
      <w:pPr>
        <w:pStyle w:val="4"/>
        <w:keepNext w:val="0"/>
        <w:keepLines w:val="0"/>
        <w:widowControl/>
        <w:suppressLineNumbers w:val="0"/>
        <w:spacing w:before="60" w:beforeAutospacing="0" w:after="60" w:afterAutospacing="0" w:line="18" w:lineRule="atLeast"/>
        <w:ind w:left="0" w:right="0"/>
        <w:jc w:val="center"/>
      </w:pPr>
      <w:r>
        <w:rPr>
          <w:rFonts w:ascii="黑体" w:hAnsi="宋体" w:eastAsia="黑体" w:cs="黑体"/>
          <w:b w:val="0"/>
          <w:bCs w:val="0"/>
          <w:i w:val="0"/>
          <w:iCs w:val="0"/>
          <w:color w:val="000000"/>
          <w:spacing w:val="0"/>
          <w:w w:val="100"/>
          <w:sz w:val="58"/>
          <w:szCs w:val="58"/>
          <w:vertAlign w:val="baseline"/>
        </w:rPr>
        <w:t>金城银行-金企贷</w:t>
      </w:r>
      <w:r>
        <w:rPr>
          <w:rFonts w:hint="eastAsia" w:ascii="黑体" w:hAnsi="宋体" w:eastAsia="黑体" w:cs="黑体"/>
          <w:b/>
          <w:bCs/>
          <w:i w:val="0"/>
          <w:iCs w:val="0"/>
          <w:color w:val="000000"/>
          <w:spacing w:val="0"/>
          <w:w w:val="100"/>
          <w:sz w:val="58"/>
          <w:szCs w:val="58"/>
          <w:vertAlign w:val="baseline"/>
        </w:rPr>
        <w:t>产品大纲</w:t>
      </w:r>
    </w:p>
    <w:p w14:paraId="4E11B95A">
      <w:pPr>
        <w:pStyle w:val="4"/>
        <w:keepNext w:val="0"/>
        <w:keepLines w:val="0"/>
        <w:widowControl/>
        <w:suppressLineNumbers w:val="0"/>
        <w:pBdr>
          <w:bottom w:val="single" w:color="2543B5" w:sz="48" w:space="0"/>
        </w:pBdr>
        <w:spacing w:before="60" w:beforeAutospacing="0" w:after="60" w:afterAutospacing="0" w:line="18" w:lineRule="atLeast"/>
        <w:ind w:left="0" w:right="0"/>
        <w:jc w:val="both"/>
      </w:pPr>
      <w:r>
        <w:rPr>
          <w:rFonts w:hint="eastAsia" w:ascii="黑体" w:hAnsi="宋体" w:eastAsia="黑体" w:cs="黑体"/>
          <w:b w:val="0"/>
          <w:bCs w:val="0"/>
          <w:i w:val="0"/>
          <w:iCs w:val="0"/>
          <w:color w:val="333333"/>
          <w:spacing w:val="0"/>
          <w:w w:val="100"/>
          <w:sz w:val="32"/>
          <w:szCs w:val="32"/>
          <w:vertAlign w:val="baseline"/>
          <w:lang w:val="en-US"/>
        </w:rPr>
        <w:t> </w:t>
      </w:r>
    </w:p>
    <w:p w14:paraId="074A7C95">
      <w:pPr>
        <w:pStyle w:val="2"/>
        <w:keepNext w:val="0"/>
        <w:keepLines w:val="0"/>
        <w:widowControl/>
        <w:numPr>
          <w:ilvl w:val="0"/>
          <w:numId w:val="1"/>
        </w:numPr>
        <w:suppressLineNumbers w:val="0"/>
        <w:spacing w:before="0" w:beforeAutospacing="0" w:after="0" w:afterAutospacing="0" w:line="20" w:lineRule="atLeast"/>
        <w:ind w:left="462" w:right="0" w:hanging="462"/>
        <w:jc w:val="left"/>
      </w:pPr>
      <w:r>
        <w:t xml:space="preserve"> </w:t>
      </w:r>
      <w:r>
        <w:rPr>
          <w:b/>
          <w:bCs/>
          <w:i w:val="0"/>
          <w:iCs w:val="0"/>
          <w:color w:val="1A1A1A"/>
          <w:spacing w:val="0"/>
          <w:w w:val="100"/>
          <w:sz w:val="36"/>
          <w:szCs w:val="36"/>
          <w:vertAlign w:val="baseline"/>
        </w:rPr>
        <w:t>产品要素</w:t>
      </w:r>
    </w:p>
    <w:p w14:paraId="23CA671E">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ascii="微软雅黑" w:hAnsi="微软雅黑" w:eastAsia="微软雅黑" w:cs="微软雅黑"/>
          <w:b w:val="0"/>
          <w:bCs w:val="0"/>
          <w:i w:val="0"/>
          <w:iCs w:val="0"/>
          <w:color w:val="000000"/>
          <w:spacing w:val="0"/>
          <w:w w:val="100"/>
          <w:sz w:val="28"/>
          <w:szCs w:val="28"/>
          <w:vertAlign w:val="baseline"/>
        </w:rPr>
        <w:t>贷款金额：500万</w:t>
      </w:r>
    </w:p>
    <w:p w14:paraId="1941547C">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贷款利息：年化5%-18%</w:t>
      </w:r>
    </w:p>
    <w:p w14:paraId="0FEAF00D">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贷款期限：12、24、36期（</w:t>
      </w:r>
      <w:r>
        <w:rPr>
          <w:rFonts w:hint="eastAsia" w:ascii="微软雅黑" w:hAnsi="微软雅黑" w:eastAsia="微软雅黑" w:cs="微软雅黑"/>
          <w:b w:val="0"/>
          <w:bCs w:val="0"/>
          <w:i w:val="0"/>
          <w:iCs w:val="0"/>
          <w:color w:val="FF0000"/>
          <w:spacing w:val="0"/>
          <w:w w:val="100"/>
          <w:sz w:val="28"/>
          <w:szCs w:val="28"/>
          <w:vertAlign w:val="baseline"/>
        </w:rPr>
        <w:t>目前只开放24期</w:t>
      </w:r>
      <w:r>
        <w:rPr>
          <w:rFonts w:hint="eastAsia" w:ascii="微软雅黑" w:hAnsi="微软雅黑" w:eastAsia="微软雅黑" w:cs="微软雅黑"/>
          <w:b w:val="0"/>
          <w:bCs w:val="0"/>
          <w:i w:val="0"/>
          <w:iCs w:val="0"/>
          <w:color w:val="000000"/>
          <w:spacing w:val="0"/>
          <w:w w:val="100"/>
          <w:sz w:val="28"/>
          <w:szCs w:val="28"/>
          <w:vertAlign w:val="baseline"/>
        </w:rPr>
        <w:t>）</w:t>
      </w:r>
    </w:p>
    <w:p w14:paraId="5EC1F031">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还款方式：等额本金、随借随还</w:t>
      </w:r>
    </w:p>
    <w:p w14:paraId="0DBDA196">
      <w:pPr>
        <w:pStyle w:val="4"/>
        <w:keepNext w:val="0"/>
        <w:keepLines w:val="0"/>
        <w:widowControl/>
        <w:suppressLineNumbers w:val="0"/>
        <w:spacing w:before="60" w:beforeAutospacing="0" w:after="0" w:afterAutospacing="0" w:line="18" w:lineRule="atLeast"/>
        <w:ind w:left="970" w:leftChars="462" w:right="0"/>
        <w:jc w:val="both"/>
      </w:pPr>
      <w:r>
        <w:rPr>
          <w:rFonts w:ascii="微软雅黑" w:hAnsi="微软雅黑" w:eastAsia="微软雅黑" w:cs="微软雅黑"/>
          <w:b w:val="0"/>
          <w:bCs w:val="0"/>
          <w:i w:val="0"/>
          <w:iCs w:val="0"/>
          <w:color w:val="000000"/>
          <w:spacing w:val="0"/>
          <w:w w:val="100"/>
          <w:sz w:val="36"/>
          <w:szCs w:val="36"/>
          <w:vertAlign w:val="baseline"/>
          <w:lang w:val="en-US"/>
        </w:rPr>
        <w:t> </w:t>
      </w:r>
    </w:p>
    <w:p w14:paraId="669B8FEE">
      <w:pPr>
        <w:pStyle w:val="2"/>
        <w:keepNext w:val="0"/>
        <w:keepLines w:val="0"/>
        <w:widowControl/>
        <w:numPr>
          <w:ilvl w:val="0"/>
          <w:numId w:val="1"/>
        </w:numPr>
        <w:suppressLineNumbers w:val="0"/>
        <w:spacing w:before="0" w:beforeAutospacing="0" w:after="0" w:afterAutospacing="0" w:line="20" w:lineRule="atLeast"/>
        <w:ind w:left="462" w:right="0" w:hanging="462"/>
        <w:jc w:val="left"/>
      </w:pPr>
      <w:r>
        <w:t xml:space="preserve"> </w:t>
      </w:r>
      <w:r>
        <w:rPr>
          <w:b/>
          <w:bCs/>
          <w:i w:val="0"/>
          <w:iCs w:val="0"/>
          <w:color w:val="1A1A1A"/>
          <w:spacing w:val="0"/>
          <w:w w:val="100"/>
          <w:sz w:val="36"/>
          <w:szCs w:val="36"/>
          <w:vertAlign w:val="baseline"/>
        </w:rPr>
        <w:t>准入要求</w:t>
      </w:r>
    </w:p>
    <w:p w14:paraId="6EABE0DE">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28"/>
          <w:szCs w:val="28"/>
          <w:vertAlign w:val="baseline"/>
        </w:rPr>
        <w:t>企业要求</w:t>
      </w:r>
    </w:p>
    <w:p w14:paraId="66B85095">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企业成立时间：满1年，纳税满1年</w:t>
      </w:r>
    </w:p>
    <w:p w14:paraId="189E9D24">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纳税评级要求：ABCM （浙江C级不可做，其他地区可做）</w:t>
      </w:r>
    </w:p>
    <w:p w14:paraId="47386BB8">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企业类型：</w:t>
      </w:r>
      <w:r>
        <w:rPr>
          <w:rFonts w:hint="eastAsia" w:ascii="微软雅黑" w:hAnsi="微软雅黑" w:eastAsia="微软雅黑" w:cs="微软雅黑"/>
          <w:b w:val="0"/>
          <w:bCs w:val="0"/>
          <w:i w:val="0"/>
          <w:iCs w:val="0"/>
          <w:color w:val="000000"/>
          <w:spacing w:val="0"/>
          <w:w w:val="100"/>
          <w:sz w:val="28"/>
          <w:szCs w:val="28"/>
          <w:shd w:val="clear" w:fill="FFFFFF"/>
          <w:vertAlign w:val="baseline"/>
        </w:rPr>
        <w:t>个人独资企业、有限责任公司准入；普通合伙人禁入</w:t>
      </w:r>
    </w:p>
    <w:p w14:paraId="771AEF42">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 xml:space="preserve">近两年任意一年纳税总额不得为0 </w:t>
      </w:r>
    </w:p>
    <w:p w14:paraId="5327DA78">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无经营异常，近6个月无主营业务方向变更</w:t>
      </w:r>
    </w:p>
    <w:p w14:paraId="6C5D9888">
      <w:pPr>
        <w:pStyle w:val="4"/>
        <w:keepNext w:val="0"/>
        <w:keepLines w:val="0"/>
        <w:widowControl/>
        <w:numPr>
          <w:ilvl w:val="1"/>
          <w:numId w:val="1"/>
        </w:numPr>
        <w:suppressLineNumbers w:val="0"/>
        <w:spacing w:before="60" w:beforeAutospacing="0" w:after="0" w:afterAutospacing="0" w:line="18" w:lineRule="atLeast"/>
        <w:ind w:left="448" w:right="0" w:hanging="384" w:hangingChars="160"/>
        <w:jc w:val="both"/>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关联企业/法人无重大负面信息</w:t>
      </w:r>
    </w:p>
    <w:p w14:paraId="410CF965">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28"/>
          <w:szCs w:val="28"/>
          <w:vertAlign w:val="baseline"/>
          <w:lang w:val="en-US"/>
        </w:rPr>
        <w:t> </w:t>
      </w:r>
    </w:p>
    <w:p w14:paraId="5EA50CEB">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28"/>
          <w:szCs w:val="28"/>
          <w:vertAlign w:val="baseline"/>
        </w:rPr>
        <w:t>个人要求</w:t>
      </w:r>
    </w:p>
    <w:p w14:paraId="1C401489">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1、申请人：企业法人，无占股要求</w:t>
      </w:r>
    </w:p>
    <w:p w14:paraId="6351309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2、年龄：18-65周岁</w:t>
      </w:r>
    </w:p>
    <w:p w14:paraId="08B4723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3、变更要求：近6个月法人无变更</w:t>
      </w:r>
    </w:p>
    <w:p w14:paraId="75A6FA91">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4、 其他：关联企业/法人无重大负面信息</w:t>
      </w:r>
    </w:p>
    <w:p w14:paraId="29A62B5F">
      <w:pPr>
        <w:pStyle w:val="4"/>
        <w:keepNext w:val="0"/>
        <w:keepLines w:val="0"/>
        <w:widowControl/>
        <w:suppressLineNumbers w:val="0"/>
        <w:spacing w:before="60" w:beforeAutospacing="0" w:after="60" w:afterAutospacing="0" w:line="16" w:lineRule="atLeast"/>
        <w:ind w:left="336" w:leftChars="160" w:right="0"/>
        <w:jc w:val="left"/>
      </w:pPr>
      <w:r>
        <w:rPr>
          <w:rFonts w:hint="eastAsia" w:ascii="微软雅黑" w:hAnsi="微软雅黑" w:eastAsia="微软雅黑" w:cs="微软雅黑"/>
          <w:b w:val="0"/>
          <w:bCs w:val="0"/>
          <w:i w:val="0"/>
          <w:iCs w:val="0"/>
          <w:color w:val="333333"/>
          <w:spacing w:val="0"/>
          <w:w w:val="100"/>
          <w:sz w:val="28"/>
          <w:szCs w:val="28"/>
          <w:vertAlign w:val="baseline"/>
          <w:lang w:val="en-US"/>
        </w:rPr>
        <w:t> </w:t>
      </w:r>
    </w:p>
    <w:p w14:paraId="7A6E47C8">
      <w:pPr>
        <w:pStyle w:val="2"/>
        <w:keepNext w:val="0"/>
        <w:keepLines w:val="0"/>
        <w:widowControl/>
        <w:numPr>
          <w:ilvl w:val="0"/>
          <w:numId w:val="1"/>
        </w:numPr>
        <w:suppressLineNumbers w:val="0"/>
        <w:spacing w:before="0" w:beforeAutospacing="0" w:after="0" w:afterAutospacing="0" w:line="20" w:lineRule="atLeast"/>
        <w:ind w:left="462" w:right="0" w:hanging="462"/>
        <w:jc w:val="left"/>
      </w:pPr>
      <w:r>
        <w:t xml:space="preserve"> </w:t>
      </w:r>
      <w:r>
        <w:rPr>
          <w:b/>
          <w:bCs/>
          <w:i w:val="0"/>
          <w:iCs w:val="0"/>
          <w:color w:val="1A1A1A"/>
          <w:spacing w:val="0"/>
          <w:w w:val="100"/>
          <w:sz w:val="36"/>
          <w:szCs w:val="36"/>
          <w:vertAlign w:val="baseline"/>
        </w:rPr>
        <w:t>征信要求</w:t>
      </w:r>
    </w:p>
    <w:p w14:paraId="29840C1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1、不能有当前逾期，近半年无2次， 近一年无4次， 近两年无6次</w:t>
      </w:r>
    </w:p>
    <w:p w14:paraId="1FF32D65">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2、征信上不能出现“保证人代偿”“资产处置”“以资抵债”“呆账”“冻结”“止付”情况</w:t>
      </w:r>
    </w:p>
    <w:p w14:paraId="70431A48">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3、3个月查询不超8次</w:t>
      </w:r>
    </w:p>
    <w:p w14:paraId="129C8E58">
      <w:pPr>
        <w:pStyle w:val="4"/>
        <w:keepNext w:val="0"/>
        <w:keepLines w:val="0"/>
        <w:widowControl/>
        <w:suppressLineNumbers w:val="0"/>
        <w:spacing w:before="60" w:beforeAutospacing="0" w:after="60" w:afterAutospacing="0" w:line="16" w:lineRule="atLeast"/>
        <w:ind w:left="0" w:right="0"/>
        <w:jc w:val="left"/>
      </w:pPr>
      <w:r>
        <w:rPr>
          <w:b w:val="0"/>
          <w:bCs w:val="0"/>
          <w:i w:val="0"/>
          <w:iCs w:val="0"/>
          <w:color w:val="333333"/>
          <w:spacing w:val="0"/>
          <w:w w:val="100"/>
          <w:sz w:val="22"/>
          <w:szCs w:val="22"/>
          <w:vertAlign w:val="baseline"/>
          <w:lang w:val="en-US"/>
        </w:rPr>
        <w:t> </w:t>
      </w:r>
    </w:p>
    <w:p w14:paraId="2AD4C1AD">
      <w:pPr>
        <w:pStyle w:val="2"/>
        <w:keepNext w:val="0"/>
        <w:keepLines w:val="0"/>
        <w:widowControl/>
        <w:numPr>
          <w:ilvl w:val="0"/>
          <w:numId w:val="1"/>
        </w:numPr>
        <w:suppressLineNumbers w:val="0"/>
        <w:spacing w:before="0" w:beforeAutospacing="0" w:after="0" w:afterAutospacing="0" w:line="20" w:lineRule="atLeast"/>
        <w:ind w:left="462" w:right="0" w:hanging="462"/>
        <w:jc w:val="left"/>
      </w:pPr>
      <w:r>
        <w:t xml:space="preserve"> </w:t>
      </w:r>
      <w:r>
        <w:rPr>
          <w:b/>
          <w:bCs/>
          <w:i w:val="0"/>
          <w:iCs w:val="0"/>
          <w:color w:val="1A1A1A"/>
          <w:spacing w:val="0"/>
          <w:w w:val="100"/>
          <w:sz w:val="36"/>
          <w:szCs w:val="36"/>
          <w:vertAlign w:val="baseline"/>
        </w:rPr>
        <w:t>准入地区</w:t>
      </w:r>
    </w:p>
    <w:p w14:paraId="20FA9B6D">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天津市、北京市、重庆市、上海市、湖北省</w:t>
      </w:r>
    </w:p>
    <w:p w14:paraId="2D398F62">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海南(海口)</w:t>
      </w:r>
    </w:p>
    <w:p w14:paraId="72A525AD">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福建(厦门)</w:t>
      </w:r>
    </w:p>
    <w:p w14:paraId="6DBEC006">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广东:</w:t>
      </w:r>
      <w:r>
        <w:rPr>
          <w:b w:val="0"/>
          <w:bCs w:val="0"/>
          <w:i w:val="0"/>
          <w:iCs w:val="0"/>
          <w:color w:val="333333"/>
          <w:spacing w:val="0"/>
          <w:w w:val="100"/>
          <w:sz w:val="28"/>
          <w:szCs w:val="28"/>
          <w:vertAlign w:val="baseline"/>
        </w:rPr>
        <w:t>深圳、广州、佛山、汕头、珠海、江门、湛江、茂名、肇庆、惠州、清远、东莞、中山、揭阳、阳江，潮州</w:t>
      </w:r>
    </w:p>
    <w:p w14:paraId="066F18C3">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江苏</w:t>
      </w:r>
      <w:r>
        <w:rPr>
          <w:b w:val="0"/>
          <w:bCs w:val="0"/>
          <w:i w:val="0"/>
          <w:iCs w:val="0"/>
          <w:color w:val="333333"/>
          <w:spacing w:val="0"/>
          <w:w w:val="100"/>
          <w:sz w:val="28"/>
          <w:szCs w:val="28"/>
          <w:vertAlign w:val="baseline"/>
        </w:rPr>
        <w:t>:南京、无锡、徐州、常州、苏州、南通、连云港、淮安、盐城、扬州、镇江、泰州、宿迁</w:t>
      </w:r>
    </w:p>
    <w:p w14:paraId="33E9DEB7">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安徽:</w:t>
      </w:r>
      <w:r>
        <w:rPr>
          <w:b w:val="0"/>
          <w:bCs w:val="0"/>
          <w:i w:val="0"/>
          <w:iCs w:val="0"/>
          <w:color w:val="333333"/>
          <w:spacing w:val="0"/>
          <w:w w:val="100"/>
          <w:sz w:val="28"/>
          <w:szCs w:val="28"/>
          <w:vertAlign w:val="baseline"/>
        </w:rPr>
        <w:t>合肥、芜湖、安庆、滁州、阜阳、宿州、六安、毫州、马鞍山、宣城，池州，淮南，蚌埠，淮北，铜陵</w:t>
      </w:r>
    </w:p>
    <w:p w14:paraId="0C3C88A5">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广西:</w:t>
      </w:r>
      <w:r>
        <w:rPr>
          <w:b w:val="0"/>
          <w:bCs w:val="0"/>
          <w:i w:val="0"/>
          <w:iCs w:val="0"/>
          <w:color w:val="333333"/>
          <w:spacing w:val="0"/>
          <w:w w:val="100"/>
          <w:sz w:val="28"/>
          <w:szCs w:val="28"/>
          <w:vertAlign w:val="baseline"/>
        </w:rPr>
        <w:t>南宁、柳州、桂林</w:t>
      </w:r>
    </w:p>
    <w:p w14:paraId="57188815">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山西:</w:t>
      </w:r>
      <w:r>
        <w:rPr>
          <w:b w:val="0"/>
          <w:bCs w:val="0"/>
          <w:i w:val="0"/>
          <w:iCs w:val="0"/>
          <w:color w:val="333333"/>
          <w:spacing w:val="0"/>
          <w:w w:val="100"/>
          <w:sz w:val="28"/>
          <w:szCs w:val="28"/>
          <w:vertAlign w:val="baseline"/>
        </w:rPr>
        <w:t>运城、太原、晋城、长治、大同市、忻州市、临汾市、</w:t>
      </w:r>
    </w:p>
    <w:p w14:paraId="2C08601A">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湖南:</w:t>
      </w:r>
      <w:r>
        <w:rPr>
          <w:b w:val="0"/>
          <w:bCs w:val="0"/>
          <w:i w:val="0"/>
          <w:iCs w:val="0"/>
          <w:color w:val="333333"/>
          <w:spacing w:val="0"/>
          <w:w w:val="100"/>
          <w:sz w:val="28"/>
          <w:szCs w:val="28"/>
          <w:vertAlign w:val="baseline"/>
        </w:rPr>
        <w:t>长沙、株洲、衡阳、常德、益阳、岳阳、郴州、邵阳、湘潭，张家界，怀化，娄底，永州</w:t>
      </w:r>
    </w:p>
    <w:p w14:paraId="4BDDD99A">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河南:</w:t>
      </w:r>
      <w:r>
        <w:rPr>
          <w:b w:val="0"/>
          <w:bCs w:val="0"/>
          <w:i w:val="0"/>
          <w:iCs w:val="0"/>
          <w:color w:val="333333"/>
          <w:spacing w:val="0"/>
          <w:w w:val="100"/>
          <w:sz w:val="28"/>
          <w:szCs w:val="28"/>
          <w:vertAlign w:val="baseline"/>
        </w:rPr>
        <w:t xml:space="preserve">郑州、开封、洛阳、安阳、新乡、许昌、南阳、商丘、信阳、周口、驻马店 </w:t>
      </w:r>
    </w:p>
    <w:p w14:paraId="74F6D880">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浙江:</w:t>
      </w:r>
      <w:r>
        <w:rPr>
          <w:b w:val="0"/>
          <w:bCs w:val="0"/>
          <w:i w:val="0"/>
          <w:iCs w:val="0"/>
          <w:color w:val="333333"/>
          <w:spacing w:val="0"/>
          <w:w w:val="100"/>
          <w:sz w:val="28"/>
          <w:szCs w:val="28"/>
          <w:vertAlign w:val="baseline"/>
        </w:rPr>
        <w:t>杭州、嘉兴、湖州、绍兴、金华、舟山、台州、丽水、衢州</w:t>
      </w:r>
    </w:p>
    <w:p w14:paraId="76416EC0">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山东:</w:t>
      </w:r>
      <w:r>
        <w:rPr>
          <w:b w:val="0"/>
          <w:bCs w:val="0"/>
          <w:i w:val="0"/>
          <w:iCs w:val="0"/>
          <w:color w:val="333333"/>
          <w:spacing w:val="0"/>
          <w:w w:val="100"/>
          <w:sz w:val="28"/>
          <w:szCs w:val="28"/>
          <w:vertAlign w:val="baseline"/>
        </w:rPr>
        <w:t>济南、临沂、潍坊、烟台、青岛、淄博市、枣庄市、东营市、威海市、日照市、德州市、滨州市、济宁市、泰安市、菏泽市、</w:t>
      </w:r>
    </w:p>
    <w:p w14:paraId="3A5DCD49">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河北:</w:t>
      </w:r>
      <w:r>
        <w:rPr>
          <w:b w:val="0"/>
          <w:bCs w:val="0"/>
          <w:i w:val="0"/>
          <w:iCs w:val="0"/>
          <w:color w:val="333333"/>
          <w:spacing w:val="0"/>
          <w:w w:val="100"/>
          <w:sz w:val="28"/>
          <w:szCs w:val="28"/>
          <w:vertAlign w:val="baseline"/>
        </w:rPr>
        <w:t>唐山、邯郸、保定、沧州、廊坊、石家庄、衡水、邢台、承德市、</w:t>
      </w:r>
    </w:p>
    <w:p w14:paraId="0CEB9D16">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贵州:</w:t>
      </w:r>
      <w:r>
        <w:rPr>
          <w:b w:val="0"/>
          <w:bCs w:val="0"/>
          <w:i w:val="0"/>
          <w:iCs w:val="0"/>
          <w:color w:val="333333"/>
          <w:spacing w:val="0"/>
          <w:w w:val="100"/>
          <w:sz w:val="28"/>
          <w:szCs w:val="28"/>
          <w:vertAlign w:val="baseline"/>
        </w:rPr>
        <w:t>贵阳、遵义</w:t>
      </w:r>
    </w:p>
    <w:p w14:paraId="44E86892">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四川:</w:t>
      </w:r>
      <w:r>
        <w:rPr>
          <w:b w:val="0"/>
          <w:bCs w:val="0"/>
          <w:i w:val="0"/>
          <w:iCs w:val="0"/>
          <w:color w:val="333333"/>
          <w:spacing w:val="0"/>
          <w:w w:val="100"/>
          <w:sz w:val="28"/>
          <w:szCs w:val="28"/>
          <w:vertAlign w:val="baseline"/>
        </w:rPr>
        <w:t>成都、绵阳、德阳、宜宾、乐山、南充、泸州、达州，雅安，资阳，攀枝花，遂宁，眉山、自贡市、内江市、</w:t>
      </w:r>
    </w:p>
    <w:p w14:paraId="09317BA6">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辽宁:</w:t>
      </w:r>
      <w:r>
        <w:rPr>
          <w:b w:val="0"/>
          <w:bCs w:val="0"/>
          <w:i w:val="0"/>
          <w:iCs w:val="0"/>
          <w:color w:val="333333"/>
          <w:spacing w:val="0"/>
          <w:w w:val="100"/>
          <w:sz w:val="28"/>
          <w:szCs w:val="28"/>
          <w:vertAlign w:val="baseline"/>
        </w:rPr>
        <w:t>沈阳、大连</w:t>
      </w:r>
    </w:p>
    <w:p w14:paraId="137E2F51">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陕西省:</w:t>
      </w:r>
      <w:r>
        <w:rPr>
          <w:b w:val="0"/>
          <w:bCs w:val="0"/>
          <w:i w:val="0"/>
          <w:iCs w:val="0"/>
          <w:color w:val="333333"/>
          <w:spacing w:val="0"/>
          <w:w w:val="100"/>
          <w:sz w:val="28"/>
          <w:szCs w:val="28"/>
          <w:vertAlign w:val="baseline"/>
        </w:rPr>
        <w:t>西安、咸阳、宝鸡、榆林、渭南市、延安市、汉中市</w:t>
      </w:r>
    </w:p>
    <w:p w14:paraId="0CF6B829">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云南省:</w:t>
      </w:r>
      <w:r>
        <w:rPr>
          <w:b w:val="0"/>
          <w:bCs w:val="0"/>
          <w:i w:val="0"/>
          <w:iCs w:val="0"/>
          <w:color w:val="333333"/>
          <w:spacing w:val="0"/>
          <w:w w:val="100"/>
          <w:sz w:val="28"/>
          <w:szCs w:val="28"/>
          <w:vertAlign w:val="baseline"/>
        </w:rPr>
        <w:t>昆明、曲靖</w:t>
      </w:r>
    </w:p>
    <w:p w14:paraId="5C1EDC69">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江西省:</w:t>
      </w:r>
      <w:r>
        <w:rPr>
          <w:b w:val="0"/>
          <w:bCs w:val="0"/>
          <w:i w:val="0"/>
          <w:iCs w:val="0"/>
          <w:color w:val="333333"/>
          <w:spacing w:val="0"/>
          <w:w w:val="100"/>
          <w:sz w:val="28"/>
          <w:szCs w:val="28"/>
          <w:vertAlign w:val="baseline"/>
        </w:rPr>
        <w:t>南昌、木江、赣州、吉安、宜春、抚州、上饶、景德镇，萍乡，鹰潭，新余</w:t>
      </w:r>
    </w:p>
    <w:p w14:paraId="4C2B097C">
      <w:pPr>
        <w:pStyle w:val="4"/>
        <w:keepNext w:val="0"/>
        <w:keepLines w:val="0"/>
        <w:widowControl/>
        <w:suppressLineNumbers w:val="0"/>
        <w:spacing w:before="60" w:beforeAutospacing="0" w:after="60" w:afterAutospacing="0"/>
        <w:ind w:left="0" w:right="0"/>
        <w:jc w:val="left"/>
      </w:pPr>
      <w:r>
        <w:rPr>
          <w:b/>
          <w:bCs/>
          <w:i w:val="0"/>
          <w:iCs w:val="0"/>
          <w:color w:val="333333"/>
          <w:spacing w:val="0"/>
          <w:w w:val="100"/>
          <w:sz w:val="28"/>
          <w:szCs w:val="28"/>
          <w:vertAlign w:val="baseline"/>
        </w:rPr>
        <w:t>吉林省：</w:t>
      </w:r>
      <w:r>
        <w:rPr>
          <w:b w:val="0"/>
          <w:bCs w:val="0"/>
          <w:i w:val="0"/>
          <w:iCs w:val="0"/>
          <w:color w:val="333333"/>
          <w:spacing w:val="0"/>
          <w:w w:val="100"/>
          <w:sz w:val="28"/>
          <w:szCs w:val="28"/>
          <w:vertAlign w:val="baseline"/>
        </w:rPr>
        <w:t>长春</w:t>
      </w:r>
    </w:p>
    <w:p w14:paraId="1AD7D83B">
      <w:pPr>
        <w:pStyle w:val="3"/>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2"/>
          <w:szCs w:val="32"/>
          <w:vertAlign w:val="baseline"/>
        </w:rPr>
        <w:t>申请流程</w:t>
      </w:r>
    </w:p>
    <w:p w14:paraId="7E6E5BB2">
      <w:pPr>
        <w:pStyle w:val="4"/>
        <w:keepNext w:val="0"/>
        <w:keepLines w:val="0"/>
        <w:widowControl/>
        <w:suppressLineNumbers w:val="0"/>
        <w:spacing w:before="60" w:beforeAutospacing="0" w:after="60" w:afterAutospacing="0"/>
        <w:ind w:left="0" w:right="0"/>
        <w:jc w:val="left"/>
      </w:pPr>
      <w:r>
        <w:rPr>
          <w:b/>
          <w:bCs/>
          <w:i w:val="0"/>
          <w:iCs w:val="0"/>
          <w:color w:val="000000"/>
          <w:spacing w:val="0"/>
          <w:w w:val="100"/>
          <w:sz w:val="32"/>
          <w:szCs w:val="32"/>
          <w:vertAlign w:val="baseline"/>
        </w:rPr>
        <w:t>1、用法人实名手机扫码，获取验证码，点查看额度进入申请页面</w:t>
      </w:r>
    </w:p>
    <w:p w14:paraId="26CDED5E">
      <w:pPr>
        <w:pStyle w:val="4"/>
        <w:keepNext w:val="0"/>
        <w:keepLines w:val="0"/>
        <w:widowControl/>
        <w:suppressLineNumbers w:val="0"/>
        <w:spacing w:before="60" w:beforeAutospacing="0" w:after="0" w:afterAutospacing="0" w:line="18" w:lineRule="atLeast"/>
        <w:ind w:left="848" w:leftChars="404" w:right="0"/>
        <w:jc w:val="both"/>
      </w:pPr>
      <w:r>
        <w:drawing>
          <wp:inline distT="0" distB="0" distL="114300" distR="114300">
            <wp:extent cx="5153025" cy="3990975"/>
            <wp:effectExtent l="0" t="0" r="13335" b="1905"/>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
                    <a:stretch>
                      <a:fillRect/>
                    </a:stretch>
                  </pic:blipFill>
                  <pic:spPr>
                    <a:xfrm>
                      <a:off x="0" y="0"/>
                      <a:ext cx="5153025" cy="3990975"/>
                    </a:xfrm>
                    <a:prstGeom prst="rect">
                      <a:avLst/>
                    </a:prstGeom>
                    <a:noFill/>
                    <a:ln w="9525">
                      <a:noFill/>
                    </a:ln>
                  </pic:spPr>
                </pic:pic>
              </a:graphicData>
            </a:graphic>
          </wp:inline>
        </w:drawing>
      </w:r>
    </w:p>
    <w:p w14:paraId="6E8F2688">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32"/>
          <w:szCs w:val="32"/>
          <w:vertAlign w:val="baseline"/>
        </w:rPr>
        <w:t>2、个人身份认证，设置交易密码</w:t>
      </w:r>
    </w:p>
    <w:p w14:paraId="0D9B67E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 法定代表人手动输入姓名，身份证号，银行卡号，银行预留手机号用于四要素身份认证； </w:t>
      </w:r>
    </w:p>
    <w:p w14:paraId="1F79C6AA">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 点击相机，支持拍摄或上传法人身份证； </w:t>
      </w:r>
    </w:p>
    <w:p w14:paraId="29E3FC56">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3. 点击【下一步】，强制阅读隐私协议； </w:t>
      </w:r>
    </w:p>
    <w:p w14:paraId="20BC4F1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4. 点击【我已阅读并同意协议】，设置放款密码； </w:t>
      </w:r>
    </w:p>
    <w:p w14:paraId="2F3490BD">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5. 放款密码设置完毕，法人身份认证完成；</w:t>
      </w:r>
    </w:p>
    <w:p w14:paraId="1A2D3563">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191125" cy="6057900"/>
            <wp:effectExtent l="0" t="0" r="5715" b="762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5191125" cy="6057900"/>
                    </a:xfrm>
                    <a:prstGeom prst="rect">
                      <a:avLst/>
                    </a:prstGeom>
                    <a:noFill/>
                    <a:ln w="9525">
                      <a:noFill/>
                    </a:ln>
                  </pic:spPr>
                </pic:pic>
              </a:graphicData>
            </a:graphic>
          </wp:inline>
        </w:drawing>
      </w:r>
    </w:p>
    <w:p w14:paraId="5E10C830">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181600" cy="5343525"/>
            <wp:effectExtent l="0" t="0" r="0" b="571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6"/>
                    <a:stretch>
                      <a:fillRect/>
                    </a:stretch>
                  </pic:blipFill>
                  <pic:spPr>
                    <a:xfrm>
                      <a:off x="0" y="0"/>
                      <a:ext cx="5181600" cy="5343525"/>
                    </a:xfrm>
                    <a:prstGeom prst="rect">
                      <a:avLst/>
                    </a:prstGeom>
                    <a:noFill/>
                    <a:ln w="9525">
                      <a:noFill/>
                    </a:ln>
                  </pic:spPr>
                </pic:pic>
              </a:graphicData>
            </a:graphic>
          </wp:inline>
        </w:drawing>
      </w:r>
    </w:p>
    <w:p w14:paraId="0C372794">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32"/>
          <w:szCs w:val="32"/>
          <w:vertAlign w:val="baseline"/>
        </w:rPr>
        <w:t>3、企业认证、税务授权</w:t>
      </w:r>
    </w:p>
    <w:p w14:paraId="6E3324F8">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 系统根据法定代表人姓名、身份证号码自动查询其名下企业信息； </w:t>
      </w:r>
    </w:p>
    <w:p w14:paraId="04766C8B">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 法定代表人选择借款企业并填写 / 确认企业信息（企业省市，企业统一社会信用代码）； </w:t>
      </w:r>
    </w:p>
    <w:p w14:paraId="076B56C7">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3. 点击【申请核额】，强制阅读授信申请书、企业征信授权等协议 </w:t>
      </w:r>
    </w:p>
    <w:p w14:paraId="135BCF04">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4. 点击【我已阅读协议】，跳转税局H 5 页面并完成授权； </w:t>
      </w:r>
    </w:p>
    <w:p w14:paraId="2AB22D36">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5. 企业认证成功后，展示核额状态；</w:t>
      </w:r>
    </w:p>
    <w:p w14:paraId="121FA15D">
      <w:pPr>
        <w:pStyle w:val="4"/>
        <w:keepNext w:val="0"/>
        <w:keepLines w:val="0"/>
        <w:widowControl/>
        <w:suppressLineNumbers w:val="0"/>
        <w:spacing w:before="60" w:beforeAutospacing="0" w:after="60" w:afterAutospacing="0"/>
        <w:ind w:left="0" w:right="0"/>
        <w:jc w:val="left"/>
      </w:pPr>
      <w:r>
        <w:drawing>
          <wp:inline distT="0" distB="0" distL="114300" distR="114300">
            <wp:extent cx="5172075" cy="6134100"/>
            <wp:effectExtent l="0" t="0" r="9525" b="7620"/>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5172075" cy="6134100"/>
                    </a:xfrm>
                    <a:prstGeom prst="rect">
                      <a:avLst/>
                    </a:prstGeom>
                    <a:noFill/>
                    <a:ln w="9525">
                      <a:noFill/>
                    </a:ln>
                  </pic:spPr>
                </pic:pic>
              </a:graphicData>
            </a:graphic>
          </wp:inline>
        </w:drawing>
      </w:r>
    </w:p>
    <w:p w14:paraId="4F28A515">
      <w:pPr>
        <w:pStyle w:val="4"/>
        <w:keepNext w:val="0"/>
        <w:keepLines w:val="0"/>
        <w:widowControl/>
        <w:suppressLineNumbers w:val="0"/>
        <w:spacing w:before="60" w:beforeAutospacing="0" w:after="60" w:afterAutospacing="0"/>
        <w:ind w:left="0" w:right="0"/>
        <w:jc w:val="left"/>
      </w:pPr>
      <w:r>
        <w:drawing>
          <wp:inline distT="0" distB="0" distL="114300" distR="114300">
            <wp:extent cx="5172075" cy="5448300"/>
            <wp:effectExtent l="0" t="0" r="9525" b="7620"/>
            <wp:docPr id="1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60"/>
                    <pic:cNvPicPr>
                      <a:picLocks noChangeAspect="1"/>
                    </pic:cNvPicPr>
                  </pic:nvPicPr>
                  <pic:blipFill>
                    <a:blip r:embed="rId8"/>
                    <a:stretch>
                      <a:fillRect/>
                    </a:stretch>
                  </pic:blipFill>
                  <pic:spPr>
                    <a:xfrm>
                      <a:off x="0" y="0"/>
                      <a:ext cx="5172075" cy="5448300"/>
                    </a:xfrm>
                    <a:prstGeom prst="rect">
                      <a:avLst/>
                    </a:prstGeom>
                    <a:noFill/>
                    <a:ln w="9525">
                      <a:noFill/>
                    </a:ln>
                  </pic:spPr>
                </pic:pic>
              </a:graphicData>
            </a:graphic>
          </wp:inline>
        </w:drawing>
      </w:r>
    </w:p>
    <w:p w14:paraId="1AAC324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4841D12">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bCs/>
          <w:i w:val="0"/>
          <w:iCs w:val="0"/>
          <w:color w:val="000000"/>
          <w:spacing w:val="0"/>
          <w:w w:val="100"/>
          <w:sz w:val="28"/>
          <w:szCs w:val="28"/>
          <w:vertAlign w:val="baseline"/>
        </w:rPr>
        <w:t>北京区域授权步骤</w:t>
      </w:r>
    </w:p>
    <w:p w14:paraId="2BFBB19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1、打开北京电子税务局网站 </w:t>
      </w:r>
    </w:p>
    <w:p w14:paraId="04F575A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国家税务总局北京市电子税务局 (chinatax.gov.cn)</w:t>
      </w:r>
    </w:p>
    <w:p w14:paraId="19C2E0A6">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 选择企业业务办理进行登录，目前支持账号、CA等登录方式，登录完成进行二次验证， 选择互动中心，银税互动；</w:t>
      </w:r>
    </w:p>
    <w:p w14:paraId="19E28AC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3、对金城银行进行授权操作</w:t>
      </w:r>
    </w:p>
    <w:p w14:paraId="6C3CA35A">
      <w:pPr>
        <w:pStyle w:val="4"/>
        <w:keepNext w:val="0"/>
        <w:keepLines w:val="0"/>
        <w:widowControl/>
        <w:suppressLineNumbers w:val="0"/>
        <w:spacing w:before="60" w:beforeAutospacing="0" w:after="60" w:afterAutospacing="0"/>
        <w:ind w:left="0" w:right="0"/>
        <w:jc w:val="left"/>
      </w:pPr>
      <w:r>
        <w:drawing>
          <wp:inline distT="0" distB="0" distL="114300" distR="114300">
            <wp:extent cx="5229225" cy="3343275"/>
            <wp:effectExtent l="0" t="0" r="13335" b="9525"/>
            <wp:docPr id="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1"/>
                    <pic:cNvPicPr>
                      <a:picLocks noChangeAspect="1"/>
                    </pic:cNvPicPr>
                  </pic:nvPicPr>
                  <pic:blipFill>
                    <a:blip r:embed="rId9"/>
                    <a:stretch>
                      <a:fillRect/>
                    </a:stretch>
                  </pic:blipFill>
                  <pic:spPr>
                    <a:xfrm>
                      <a:off x="0" y="0"/>
                      <a:ext cx="5229225" cy="3343275"/>
                    </a:xfrm>
                    <a:prstGeom prst="rect">
                      <a:avLst/>
                    </a:prstGeom>
                    <a:noFill/>
                    <a:ln w="9525">
                      <a:noFill/>
                    </a:ln>
                  </pic:spPr>
                </pic:pic>
              </a:graphicData>
            </a:graphic>
          </wp:inline>
        </w:drawing>
      </w:r>
    </w:p>
    <w:p w14:paraId="6580AA5F">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4、完成授权返回（金城银行企业金融）进行贷款申请</w:t>
      </w:r>
    </w:p>
    <w:p w14:paraId="278E775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44BA501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bCs/>
          <w:i w:val="0"/>
          <w:iCs w:val="0"/>
          <w:color w:val="000000"/>
          <w:spacing w:val="0"/>
          <w:w w:val="100"/>
          <w:sz w:val="28"/>
          <w:szCs w:val="28"/>
          <w:vertAlign w:val="baseline"/>
        </w:rPr>
        <w:t>河北授权流程</w:t>
      </w:r>
    </w:p>
    <w:p w14:paraId="4D8CA63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1、用户输入税号校验是否有授权记录，无授权记录让用户复制链接去pc或者手机浏览器去授权（兼容部分手机）</w:t>
      </w:r>
    </w:p>
    <w:p w14:paraId="1919BA6E">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https://etax.hebei.chinatax.gov.cn/bszm-web/apps/views-zj/index/index.html 国家税务总局河北省电子税务局 (chinatax.gov.cn)</w:t>
      </w:r>
    </w:p>
    <w:p w14:paraId="39B94DAE">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2、选择“银税互动涉税信息授权”，选择“金城银行“并提交。用户在税局操作完成后返回银行的微信公众号继续完成信息确认。</w:t>
      </w:r>
    </w:p>
    <w:p w14:paraId="60E5FE16">
      <w:pPr>
        <w:pStyle w:val="4"/>
        <w:keepNext w:val="0"/>
        <w:keepLines w:val="0"/>
        <w:widowControl/>
        <w:suppressLineNumbers w:val="0"/>
        <w:spacing w:before="0" w:beforeAutospacing="0" w:after="0" w:afterAutospacing="0"/>
        <w:ind w:left="0" w:right="0"/>
        <w:jc w:val="both"/>
      </w:pPr>
      <w:r>
        <w:rPr>
          <w:b w:val="0"/>
          <w:bCs w:val="0"/>
          <w:i w:val="0"/>
          <w:iCs w:val="0"/>
          <w:color w:val="333333"/>
          <w:spacing w:val="0"/>
          <w:w w:val="100"/>
          <w:sz w:val="22"/>
          <w:szCs w:val="22"/>
          <w:vertAlign w:val="baseline"/>
          <w:lang w:val="en-US"/>
        </w:rPr>
        <w:t> </w:t>
      </w:r>
    </w:p>
    <w:p w14:paraId="01C72B7C">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E5EAC5C">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32"/>
          <w:szCs w:val="32"/>
          <w:vertAlign w:val="baseline"/>
        </w:rPr>
        <w:t>4、核额状态</w:t>
      </w:r>
    </w:p>
    <w:p w14:paraId="17328E97">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715000" cy="3400425"/>
            <wp:effectExtent l="0" t="0" r="0" b="13335"/>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10"/>
                    <a:stretch>
                      <a:fillRect/>
                    </a:stretch>
                  </pic:blipFill>
                  <pic:spPr>
                    <a:xfrm>
                      <a:off x="0" y="0"/>
                      <a:ext cx="5715000" cy="3400425"/>
                    </a:xfrm>
                    <a:prstGeom prst="rect">
                      <a:avLst/>
                    </a:prstGeom>
                    <a:noFill/>
                    <a:ln w="9525">
                      <a:noFill/>
                    </a:ln>
                  </pic:spPr>
                </pic:pic>
              </a:graphicData>
            </a:graphic>
          </wp:inline>
        </w:drawing>
      </w:r>
    </w:p>
    <w:p w14:paraId="09E970F8">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1B0D16D">
      <w:pPr>
        <w:pStyle w:val="3"/>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2"/>
          <w:szCs w:val="32"/>
          <w:vertAlign w:val="baseline"/>
        </w:rPr>
        <w:t>提款流程（</w:t>
      </w:r>
      <w:r>
        <w:rPr>
          <w:b/>
          <w:bCs/>
          <w:i w:val="0"/>
          <w:iCs w:val="0"/>
          <w:color w:val="FF0000"/>
          <w:spacing w:val="0"/>
          <w:w w:val="100"/>
          <w:sz w:val="32"/>
          <w:szCs w:val="32"/>
          <w:vertAlign w:val="baseline"/>
        </w:rPr>
        <w:t>放款到企业对公户</w:t>
      </w:r>
      <w:r>
        <w:rPr>
          <w:b/>
          <w:bCs/>
          <w:i w:val="0"/>
          <w:iCs w:val="0"/>
          <w:color w:val="1A1A1A"/>
          <w:spacing w:val="0"/>
          <w:w w:val="100"/>
          <w:sz w:val="32"/>
          <w:szCs w:val="32"/>
          <w:vertAlign w:val="baseline"/>
        </w:rPr>
        <w:t>）</w:t>
      </w:r>
    </w:p>
    <w:p w14:paraId="197AB27C">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w:t>
      </w:r>
      <w:r>
        <w:rPr>
          <w:rFonts w:hint="eastAsia" w:ascii="微软雅黑" w:hAnsi="微软雅黑" w:eastAsia="微软雅黑" w:cs="微软雅黑"/>
          <w:b/>
          <w:bCs/>
          <w:i w:val="0"/>
          <w:iCs w:val="0"/>
          <w:color w:val="000000"/>
          <w:spacing w:val="0"/>
          <w:w w:val="100"/>
          <w:sz w:val="28"/>
          <w:szCs w:val="28"/>
          <w:vertAlign w:val="baseline"/>
        </w:rPr>
        <w:t>补充资料</w:t>
      </w:r>
    </w:p>
    <w:p w14:paraId="2EFFD55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1.点击【去借款】进入用信提款流程； 企业首次借款需要补充相关资料；</w:t>
      </w:r>
    </w:p>
    <w:p w14:paraId="6BDC63B1">
      <w:pPr>
        <w:pStyle w:val="4"/>
        <w:keepNext w:val="0"/>
        <w:keepLines w:val="0"/>
        <w:widowControl/>
        <w:suppressLineNumbers w:val="0"/>
        <w:spacing w:before="60" w:beforeAutospacing="0" w:after="60" w:afterAutospacing="0"/>
        <w:ind w:left="0" w:right="0"/>
        <w:jc w:val="left"/>
      </w:pPr>
      <w:r>
        <w:drawing>
          <wp:inline distT="0" distB="0" distL="114300" distR="114300">
            <wp:extent cx="5181600" cy="6019800"/>
            <wp:effectExtent l="0" t="0" r="0" b="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5181600" cy="6019800"/>
                    </a:xfrm>
                    <a:prstGeom prst="rect">
                      <a:avLst/>
                    </a:prstGeom>
                    <a:noFill/>
                    <a:ln w="9525">
                      <a:noFill/>
                    </a:ln>
                  </pic:spPr>
                </pic:pic>
              </a:graphicData>
            </a:graphic>
          </wp:inline>
        </w:drawing>
      </w:r>
    </w:p>
    <w:p w14:paraId="2342B8BF">
      <w:pPr>
        <w:pStyle w:val="4"/>
        <w:keepNext w:val="0"/>
        <w:keepLines w:val="0"/>
        <w:widowControl/>
        <w:suppressLineNumbers w:val="0"/>
        <w:spacing w:before="60" w:beforeAutospacing="0" w:after="60" w:afterAutospacing="0"/>
        <w:ind w:left="0" w:right="0"/>
        <w:jc w:val="left"/>
      </w:pPr>
      <w:r>
        <w:drawing>
          <wp:inline distT="0" distB="0" distL="114300" distR="114300">
            <wp:extent cx="5181600" cy="4991100"/>
            <wp:effectExtent l="0" t="0" r="0" b="7620"/>
            <wp:docPr id="1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64"/>
                    <pic:cNvPicPr>
                      <a:picLocks noChangeAspect="1"/>
                    </pic:cNvPicPr>
                  </pic:nvPicPr>
                  <pic:blipFill>
                    <a:blip r:embed="rId12"/>
                    <a:stretch>
                      <a:fillRect/>
                    </a:stretch>
                  </pic:blipFill>
                  <pic:spPr>
                    <a:xfrm>
                      <a:off x="0" y="0"/>
                      <a:ext cx="5181600" cy="4991100"/>
                    </a:xfrm>
                    <a:prstGeom prst="rect">
                      <a:avLst/>
                    </a:prstGeom>
                    <a:noFill/>
                    <a:ln w="9525">
                      <a:noFill/>
                    </a:ln>
                  </pic:spPr>
                </pic:pic>
              </a:graphicData>
            </a:graphic>
          </wp:inline>
        </w:drawing>
      </w:r>
    </w:p>
    <w:p w14:paraId="2738A67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2.补充信息主要包括 法人身份信息、企业邮箱信息、送达地址信息； </w:t>
      </w:r>
    </w:p>
    <w:p w14:paraId="32C8C6D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3.补充资料填写完毕，点击【下一步】跳转借款信息确认页；</w:t>
      </w:r>
    </w:p>
    <w:p w14:paraId="386CBA9C">
      <w:pPr>
        <w:pStyle w:val="4"/>
        <w:keepNext w:val="0"/>
        <w:keepLines w:val="0"/>
        <w:widowControl/>
        <w:suppressLineNumbers w:val="0"/>
        <w:spacing w:before="60" w:beforeAutospacing="0" w:after="60" w:afterAutospacing="0"/>
        <w:ind w:left="0" w:right="0"/>
        <w:jc w:val="left"/>
      </w:pPr>
      <w:r>
        <w:drawing>
          <wp:inline distT="0" distB="0" distL="114300" distR="114300">
            <wp:extent cx="5162550" cy="5248275"/>
            <wp:effectExtent l="0" t="0" r="3810" b="9525"/>
            <wp:docPr id="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65"/>
                    <pic:cNvPicPr>
                      <a:picLocks noChangeAspect="1"/>
                    </pic:cNvPicPr>
                  </pic:nvPicPr>
                  <pic:blipFill>
                    <a:blip r:embed="rId13"/>
                    <a:stretch>
                      <a:fillRect/>
                    </a:stretch>
                  </pic:blipFill>
                  <pic:spPr>
                    <a:xfrm>
                      <a:off x="0" y="0"/>
                      <a:ext cx="5162550" cy="5248275"/>
                    </a:xfrm>
                    <a:prstGeom prst="rect">
                      <a:avLst/>
                    </a:prstGeom>
                    <a:noFill/>
                    <a:ln w="9525">
                      <a:noFill/>
                    </a:ln>
                  </pic:spPr>
                </pic:pic>
              </a:graphicData>
            </a:graphic>
          </wp:inline>
        </w:drawing>
      </w:r>
    </w:p>
    <w:p w14:paraId="0BFE4AC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lang w:val="en-US"/>
        </w:rPr>
        <w:t> </w:t>
      </w:r>
    </w:p>
    <w:p w14:paraId="1B8523C4">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提款流程-借款确认</w:t>
      </w:r>
    </w:p>
    <w:p w14:paraId="6FED208D">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1.法人输入借款金额，系统会自动回填期限及还款方式； </w:t>
      </w:r>
    </w:p>
    <w:p w14:paraId="5B28143A">
      <w:pPr>
        <w:pStyle w:val="4"/>
        <w:keepNext w:val="0"/>
        <w:keepLines w:val="0"/>
        <w:widowControl/>
        <w:suppressLineNumbers w:val="0"/>
        <w:spacing w:before="60" w:beforeAutospacing="0" w:after="60" w:afterAutospacing="0"/>
        <w:ind w:left="0" w:right="0"/>
        <w:jc w:val="left"/>
      </w:pPr>
      <w:r>
        <w:drawing>
          <wp:inline distT="0" distB="0" distL="114300" distR="114300">
            <wp:extent cx="5715000" cy="4962525"/>
            <wp:effectExtent l="0" t="0" r="0" b="5715"/>
            <wp:docPr id="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IMG_266"/>
                    <pic:cNvPicPr>
                      <a:picLocks noChangeAspect="1"/>
                    </pic:cNvPicPr>
                  </pic:nvPicPr>
                  <pic:blipFill>
                    <a:blip r:embed="rId14"/>
                    <a:stretch>
                      <a:fillRect/>
                    </a:stretch>
                  </pic:blipFill>
                  <pic:spPr>
                    <a:xfrm>
                      <a:off x="0" y="0"/>
                      <a:ext cx="5715000" cy="4962525"/>
                    </a:xfrm>
                    <a:prstGeom prst="rect">
                      <a:avLst/>
                    </a:prstGeom>
                    <a:noFill/>
                    <a:ln w="9525">
                      <a:noFill/>
                    </a:ln>
                  </pic:spPr>
                </pic:pic>
              </a:graphicData>
            </a:graphic>
          </wp:inline>
        </w:drawing>
      </w:r>
    </w:p>
    <w:p w14:paraId="39C4B832">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2.点击【借多久】【怎么还】可重新选择借款期限及还款方式； </w:t>
      </w:r>
    </w:p>
    <w:p w14:paraId="609BB6C2">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*目前</w:t>
      </w:r>
      <w:r>
        <w:rPr>
          <w:rFonts w:hint="eastAsia" w:ascii="微软雅黑" w:hAnsi="微软雅黑" w:eastAsia="微软雅黑" w:cs="微软雅黑"/>
          <w:b w:val="0"/>
          <w:bCs w:val="0"/>
          <w:i w:val="0"/>
          <w:iCs w:val="0"/>
          <w:color w:val="FF0000"/>
          <w:spacing w:val="0"/>
          <w:w w:val="100"/>
          <w:sz w:val="28"/>
          <w:szCs w:val="28"/>
          <w:vertAlign w:val="baseline"/>
        </w:rPr>
        <w:t>仅支持24期</w:t>
      </w:r>
      <w:r>
        <w:rPr>
          <w:rFonts w:hint="eastAsia" w:ascii="微软雅黑" w:hAnsi="微软雅黑" w:eastAsia="微软雅黑" w:cs="微软雅黑"/>
          <w:b w:val="0"/>
          <w:bCs w:val="0"/>
          <w:i w:val="0"/>
          <w:iCs w:val="0"/>
          <w:color w:val="000000"/>
          <w:spacing w:val="0"/>
          <w:w w:val="100"/>
          <w:sz w:val="28"/>
          <w:szCs w:val="28"/>
          <w:vertAlign w:val="baseline"/>
        </w:rPr>
        <w:t xml:space="preserve">，后续支持其他期限，最长36期 </w:t>
      </w:r>
    </w:p>
    <w:p w14:paraId="57BAC0FC">
      <w:pPr>
        <w:pStyle w:val="4"/>
        <w:keepNext w:val="0"/>
        <w:keepLines w:val="0"/>
        <w:widowControl/>
        <w:suppressLineNumbers w:val="0"/>
        <w:spacing w:before="60" w:beforeAutospacing="0" w:after="60" w:afterAutospacing="0"/>
        <w:ind w:left="0" w:right="0"/>
        <w:jc w:val="left"/>
      </w:pPr>
      <w:r>
        <w:drawing>
          <wp:inline distT="0" distB="0" distL="114300" distR="114300">
            <wp:extent cx="5715000" cy="4486275"/>
            <wp:effectExtent l="0" t="0" r="0" b="9525"/>
            <wp:docPr id="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IMG_267"/>
                    <pic:cNvPicPr>
                      <a:picLocks noChangeAspect="1"/>
                    </pic:cNvPicPr>
                  </pic:nvPicPr>
                  <pic:blipFill>
                    <a:blip r:embed="rId15"/>
                    <a:stretch>
                      <a:fillRect/>
                    </a:stretch>
                  </pic:blipFill>
                  <pic:spPr>
                    <a:xfrm>
                      <a:off x="0" y="0"/>
                      <a:ext cx="5715000" cy="4486275"/>
                    </a:xfrm>
                    <a:prstGeom prst="rect">
                      <a:avLst/>
                    </a:prstGeom>
                    <a:noFill/>
                    <a:ln w="9525">
                      <a:noFill/>
                    </a:ln>
                  </pic:spPr>
                </pic:pic>
              </a:graphicData>
            </a:graphic>
          </wp:inline>
        </w:drawing>
      </w:r>
    </w:p>
    <w:p w14:paraId="27C7F73A">
      <w:pPr>
        <w:pStyle w:val="4"/>
        <w:keepNext w:val="0"/>
        <w:keepLines w:val="0"/>
        <w:widowControl/>
        <w:suppressLineNumbers w:val="0"/>
        <w:spacing w:before="60" w:beforeAutospacing="0" w:after="60" w:afterAutospacing="0"/>
        <w:ind w:left="0" w:right="0"/>
        <w:jc w:val="left"/>
      </w:pPr>
      <w:r>
        <w:drawing>
          <wp:inline distT="0" distB="0" distL="114300" distR="114300">
            <wp:extent cx="5715000" cy="3638550"/>
            <wp:effectExtent l="0" t="0" r="0" b="3810"/>
            <wp:docPr id="1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68"/>
                    <pic:cNvPicPr>
                      <a:picLocks noChangeAspect="1"/>
                    </pic:cNvPicPr>
                  </pic:nvPicPr>
                  <pic:blipFill>
                    <a:blip r:embed="rId16"/>
                    <a:stretch>
                      <a:fillRect/>
                    </a:stretch>
                  </pic:blipFill>
                  <pic:spPr>
                    <a:xfrm>
                      <a:off x="0" y="0"/>
                      <a:ext cx="5715000" cy="3638550"/>
                    </a:xfrm>
                    <a:prstGeom prst="rect">
                      <a:avLst/>
                    </a:prstGeom>
                    <a:noFill/>
                    <a:ln w="9525">
                      <a:noFill/>
                    </a:ln>
                  </pic:spPr>
                </pic:pic>
              </a:graphicData>
            </a:graphic>
          </wp:inline>
        </w:drawing>
      </w:r>
    </w:p>
    <w:p w14:paraId="5C22EEE6">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3.点击【下一步】进入添加收款账户页面；</w:t>
      </w:r>
    </w:p>
    <w:p w14:paraId="3A5B523B">
      <w:pPr>
        <w:pStyle w:val="4"/>
        <w:keepNext w:val="0"/>
        <w:keepLines w:val="0"/>
        <w:widowControl/>
        <w:suppressLineNumbers w:val="0"/>
        <w:spacing w:before="60" w:beforeAutospacing="0" w:after="60" w:afterAutospacing="0"/>
        <w:ind w:left="0" w:right="0"/>
        <w:jc w:val="left"/>
      </w:pPr>
      <w:r>
        <w:drawing>
          <wp:inline distT="0" distB="0" distL="114300" distR="114300">
            <wp:extent cx="5715000" cy="4933950"/>
            <wp:effectExtent l="0" t="0" r="0" b="381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5715000" cy="4933950"/>
                    </a:xfrm>
                    <a:prstGeom prst="rect">
                      <a:avLst/>
                    </a:prstGeom>
                    <a:noFill/>
                    <a:ln w="9525">
                      <a:noFill/>
                    </a:ln>
                  </pic:spPr>
                </pic:pic>
              </a:graphicData>
            </a:graphic>
          </wp:inline>
        </w:drawing>
      </w:r>
    </w:p>
    <w:p w14:paraId="32E3918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lang w:val="en-US"/>
        </w:rPr>
        <w:t> </w:t>
      </w:r>
    </w:p>
    <w:p w14:paraId="5CA1CE0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提款流程-人脸识别</w:t>
      </w:r>
    </w:p>
    <w:p w14:paraId="1107D5EE">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放款密码输入完毕，法人需要进行人脸识别； 点击【立即验证】进入金企贷人脸识别程序；</w:t>
      </w:r>
      <w:r>
        <w:rPr>
          <w:rFonts w:hint="eastAsia" w:ascii="微软雅黑" w:hAnsi="微软雅黑" w:eastAsia="微软雅黑" w:cs="微软雅黑"/>
          <w:b w:val="0"/>
          <w:bCs w:val="0"/>
          <w:i w:val="0"/>
          <w:iCs w:val="0"/>
          <w:color w:val="314274"/>
          <w:spacing w:val="0"/>
          <w:w w:val="100"/>
          <w:sz w:val="36"/>
          <w:szCs w:val="36"/>
          <w:vertAlign w:val="baseline"/>
        </w:rPr>
        <w:t xml:space="preserve"> </w:t>
      </w:r>
    </w:p>
    <w:p w14:paraId="173AD20F">
      <w:pPr>
        <w:pStyle w:val="4"/>
        <w:keepNext w:val="0"/>
        <w:keepLines w:val="0"/>
        <w:widowControl/>
        <w:suppressLineNumbers w:val="0"/>
        <w:spacing w:before="0" w:beforeAutospacing="0" w:after="0" w:afterAutospacing="0" w:line="18" w:lineRule="atLeast"/>
        <w:ind w:left="0" w:right="0"/>
        <w:jc w:val="left"/>
      </w:pPr>
      <w:r>
        <w:drawing>
          <wp:inline distT="0" distB="0" distL="114300" distR="114300">
            <wp:extent cx="5162550" cy="6010275"/>
            <wp:effectExtent l="0" t="0" r="3810" b="9525"/>
            <wp:docPr id="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IMG_270"/>
                    <pic:cNvPicPr>
                      <a:picLocks noChangeAspect="1"/>
                    </pic:cNvPicPr>
                  </pic:nvPicPr>
                  <pic:blipFill>
                    <a:blip r:embed="rId18"/>
                    <a:stretch>
                      <a:fillRect/>
                    </a:stretch>
                  </pic:blipFill>
                  <pic:spPr>
                    <a:xfrm>
                      <a:off x="0" y="0"/>
                      <a:ext cx="5162550" cy="6010275"/>
                    </a:xfrm>
                    <a:prstGeom prst="rect">
                      <a:avLst/>
                    </a:prstGeom>
                    <a:noFill/>
                    <a:ln w="9525">
                      <a:noFill/>
                    </a:ln>
                  </pic:spPr>
                </pic:pic>
              </a:graphicData>
            </a:graphic>
          </wp:inline>
        </w:drawing>
      </w:r>
    </w:p>
    <w:p w14:paraId="46A53F6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人脸识别完成，点击【确认】返回H5页面；</w:t>
      </w:r>
    </w:p>
    <w:p w14:paraId="1BB152F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3CCD094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提款流程-放款审核</w:t>
      </w:r>
    </w:p>
    <w:p w14:paraId="5EEA5F7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人脸识别成功后，系统自动提交放款，并将放款结果显示给法人；</w:t>
      </w:r>
    </w:p>
    <w:p w14:paraId="2C29CBF5">
      <w:pPr>
        <w:pStyle w:val="4"/>
        <w:keepNext w:val="0"/>
        <w:keepLines w:val="0"/>
        <w:widowControl/>
        <w:suppressLineNumbers w:val="0"/>
        <w:spacing w:before="0" w:beforeAutospacing="0" w:after="0" w:afterAutospacing="0" w:line="18" w:lineRule="atLeast"/>
        <w:ind w:left="0" w:right="0"/>
        <w:jc w:val="left"/>
      </w:pPr>
      <w:r>
        <w:drawing>
          <wp:inline distT="0" distB="0" distL="114300" distR="114300">
            <wp:extent cx="5715000" cy="3419475"/>
            <wp:effectExtent l="0" t="0" r="0" b="9525"/>
            <wp:docPr id="10"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IMG_271"/>
                    <pic:cNvPicPr>
                      <a:picLocks noChangeAspect="1"/>
                    </pic:cNvPicPr>
                  </pic:nvPicPr>
                  <pic:blipFill>
                    <a:blip r:embed="rId19"/>
                    <a:stretch>
                      <a:fillRect/>
                    </a:stretch>
                  </pic:blipFill>
                  <pic:spPr>
                    <a:xfrm>
                      <a:off x="0" y="0"/>
                      <a:ext cx="5715000" cy="3419475"/>
                    </a:xfrm>
                    <a:prstGeom prst="rect">
                      <a:avLst/>
                    </a:prstGeom>
                    <a:noFill/>
                    <a:ln w="9525">
                      <a:noFill/>
                    </a:ln>
                  </pic:spPr>
                </pic:pic>
              </a:graphicData>
            </a:graphic>
          </wp:inline>
        </w:drawing>
      </w:r>
    </w:p>
    <w:p w14:paraId="5DCE2F90">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052CA0B4">
      <w:pPr>
        <w:pStyle w:val="3"/>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2"/>
          <w:szCs w:val="32"/>
          <w:vertAlign w:val="baseline"/>
        </w:rPr>
        <w:t>还款流程</w:t>
      </w:r>
    </w:p>
    <w:p w14:paraId="235BADD0">
      <w:pPr>
        <w:pStyle w:val="4"/>
        <w:keepNext w:val="0"/>
        <w:keepLines w:val="0"/>
        <w:widowControl/>
        <w:numPr>
          <w:ilvl w:val="0"/>
          <w:numId w:val="2"/>
        </w:numPr>
        <w:suppressLineNumbers w:val="0"/>
        <w:spacing w:before="60" w:beforeAutospacing="0" w:after="60" w:afterAutospacing="0"/>
        <w:ind w:left="448" w:right="0" w:hanging="384" w:hangingChars="160"/>
        <w:jc w:val="left"/>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登录“金城银行企业金融”公众号，点击【还款】，可查看当期应还金额</w:t>
      </w:r>
    </w:p>
    <w:p w14:paraId="2B13C7AE">
      <w:pPr>
        <w:pStyle w:val="4"/>
        <w:keepNext w:val="0"/>
        <w:keepLines w:val="0"/>
        <w:widowControl/>
        <w:numPr>
          <w:ilvl w:val="0"/>
          <w:numId w:val="2"/>
        </w:numPr>
        <w:suppressLineNumbers w:val="0"/>
        <w:spacing w:before="60" w:beforeAutospacing="0" w:after="60" w:afterAutospacing="0"/>
        <w:ind w:left="448" w:right="0" w:hanging="384" w:hangingChars="160"/>
        <w:jc w:val="left"/>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客户提前转帐至还款专户（也支持他行网银或手机银行提前将当期应还金额足额转入您金企贷还款账户）</w:t>
      </w:r>
    </w:p>
    <w:p w14:paraId="5D81F8E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3.点开借据，可查看详情。并可看到提前结清入口，按借据来提前还款，不支持部分款项提前还款</w:t>
      </w:r>
    </w:p>
    <w:p w14:paraId="4F87263F">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753100" cy="2962275"/>
            <wp:effectExtent l="0" t="0" r="7620" b="9525"/>
            <wp:docPr id="16"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IMG_272"/>
                    <pic:cNvPicPr>
                      <a:picLocks noChangeAspect="1"/>
                    </pic:cNvPicPr>
                  </pic:nvPicPr>
                  <pic:blipFill>
                    <a:blip r:embed="rId20"/>
                    <a:stretch>
                      <a:fillRect/>
                    </a:stretch>
                  </pic:blipFill>
                  <pic:spPr>
                    <a:xfrm>
                      <a:off x="0" y="0"/>
                      <a:ext cx="5753100" cy="2962275"/>
                    </a:xfrm>
                    <a:prstGeom prst="rect">
                      <a:avLst/>
                    </a:prstGeom>
                    <a:noFill/>
                    <a:ln w="9525">
                      <a:noFill/>
                    </a:ln>
                  </pic:spPr>
                </pic:pic>
              </a:graphicData>
            </a:graphic>
          </wp:inline>
        </w:drawing>
      </w:r>
    </w:p>
    <w:p w14:paraId="3C62901D">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3D73777">
      <w:pPr>
        <w:pStyle w:val="2"/>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6"/>
          <w:szCs w:val="36"/>
          <w:vertAlign w:val="baseline"/>
        </w:rPr>
        <w:t>六、常见问题</w:t>
      </w:r>
    </w:p>
    <w:p w14:paraId="735724A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1、额度有效期多久？</w:t>
      </w:r>
    </w:p>
    <w:p w14:paraId="1FC2FCF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答：长期有效</w:t>
      </w:r>
    </w:p>
    <w:p w14:paraId="0D226778">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5833AC9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2、上个人征信，还是企业征信？</w:t>
      </w:r>
    </w:p>
    <w:p w14:paraId="4FA64D86">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答：上企业征信，个人担保</w:t>
      </w:r>
    </w:p>
    <w:p w14:paraId="639BA001">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20ACB79C">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3、申请/提款时间是？</w:t>
      </w:r>
    </w:p>
    <w:p w14:paraId="327D099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答：9:00--24:00，周六日可正常申请审批</w:t>
      </w:r>
    </w:p>
    <w:p w14:paraId="30EFC531">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138E5697">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4、是否有电核？电核内容？</w:t>
      </w:r>
    </w:p>
    <w:p w14:paraId="3835C3E3">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答：提款环节会有电核，022/400/101开头号码，取消陌生拦截，电核注意事项大致如下：</w:t>
      </w:r>
    </w:p>
    <w:p w14:paraId="220B406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4.1你是法人本人吗？ 回答是。</w:t>
      </w:r>
    </w:p>
    <w:p w14:paraId="547638D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4.2知道申请了我们金诚银行产品吗？回答：知道</w:t>
      </w:r>
    </w:p>
    <w:p w14:paraId="1488B955">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4.3:知道您申请的金额是多少吗？回答**（具体金额）万</w:t>
      </w:r>
    </w:p>
    <w:p w14:paraId="6C9AD00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4.4:贷款时否有被收费？答：无费用。</w:t>
      </w:r>
    </w:p>
    <w:p w14:paraId="39876695">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4.5:怎么知道我们金诚银行贷款的？答：朋友推荐：</w:t>
      </w:r>
    </w:p>
    <w:p w14:paraId="28F1293D">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4.6:知道金城银行还款模式吗？回答：知道。</w:t>
      </w:r>
    </w:p>
    <w:p w14:paraId="40770A7C">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4.7:是自己操作的吗？回答：是的。</w:t>
      </w:r>
    </w:p>
    <w:p w14:paraId="7BB23FBE">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 xml:space="preserve">4.8:贷款做什么用的？回答：购买原材料用的。目前原材料价格不稳。目前稍微价格稳一点。准备储备一些资金。 </w:t>
      </w:r>
    </w:p>
    <w:p w14:paraId="273055DD">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 xml:space="preserve">4.9名下还有哪些负债：征信报告上有的自己知道的就回答一下。 回答：回答自己在用的贷款。 </w:t>
      </w:r>
    </w:p>
    <w:p w14:paraId="219EDAB5">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4.10这些资金用于哪些地方了？回答。购买货款了。今年资金紧张一点。原材料前几天涨的厉害。其他暂无。</w:t>
      </w:r>
    </w:p>
    <w:p w14:paraId="422DFD9A">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PS：基本这些问题。不要抢答。问啥就回答不问就不要回答。</w:t>
      </w:r>
    </w:p>
    <w:p w14:paraId="41A38689">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5948A86C">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5、官方客服电话</w:t>
      </w:r>
    </w:p>
    <w:p w14:paraId="11CF80FF">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w:t>
      </w:r>
      <w:r>
        <w:rPr>
          <w:rFonts w:hint="eastAsia" w:ascii="微软雅黑" w:hAnsi="微软雅黑" w:eastAsia="微软雅黑" w:cs="微软雅黑"/>
          <w:b w:val="0"/>
          <w:bCs w:val="0"/>
          <w:i w:val="0"/>
          <w:iCs w:val="0"/>
          <w:color w:val="FF0000"/>
          <w:spacing w:val="0"/>
          <w:w w:val="100"/>
          <w:sz w:val="28"/>
          <w:szCs w:val="28"/>
          <w:shd w:val="clear" w:fill="FFFFFF"/>
          <w:vertAlign w:val="baseline"/>
        </w:rPr>
        <w:t>4006360360</w:t>
      </w:r>
    </w:p>
    <w:p w14:paraId="76190555">
      <w:pPr>
        <w:pStyle w:val="4"/>
        <w:keepNext w:val="0"/>
        <w:keepLines w:val="0"/>
        <w:widowControl/>
        <w:suppressLineNumbers w:val="0"/>
        <w:spacing w:before="60" w:beforeAutospacing="0" w:after="60" w:afterAutospacing="0" w:line="16" w:lineRule="atLeast"/>
        <w:ind w:left="0" w:right="0"/>
        <w:jc w:val="left"/>
      </w:pPr>
      <w:r>
        <w:rPr>
          <w:b w:val="0"/>
          <w:bCs w:val="0"/>
          <w:i w:val="0"/>
          <w:iCs w:val="0"/>
          <w:color w:val="333333"/>
          <w:spacing w:val="0"/>
          <w:w w:val="100"/>
          <w:sz w:val="22"/>
          <w:szCs w:val="22"/>
          <w:vertAlign w:val="baseline"/>
          <w:lang w:val="en-US"/>
        </w:rPr>
        <w:t> </w:t>
      </w:r>
    </w:p>
    <w:p w14:paraId="52E889F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14A215"/>
    <w:multiLevelType w:val="multilevel"/>
    <w:tmpl w:val="BD14A215"/>
    <w:lvl w:ilvl="0" w:tentative="0">
      <w:start w:val="1"/>
      <w:numFmt w:val="chineseCounting"/>
      <w:lvlText w:val="%1、"/>
      <w:lvlJc w:val="left"/>
      <w:pPr>
        <w:ind w:left="720"/>
      </w:pPr>
    </w:lvl>
    <w:lvl w:ilvl="1" w:tentative="0">
      <w:start w:val="1"/>
      <w:numFmt w:val="decimal"/>
      <w:lvlText w:val="%2、"/>
      <w:lvlJc w:val="left"/>
      <w:pPr>
        <w:ind w:left="1440"/>
      </w:pPr>
    </w:lvl>
    <w:lvl w:ilvl="2" w:tentative="0">
      <w:start w:val="1"/>
      <w:numFmt w:val="lowerLetter"/>
      <w:lvlText w:val="%3)"/>
      <w:lvlJc w:val="left"/>
      <w:pPr>
        <w:ind w:left="2160"/>
      </w:pPr>
    </w:lvl>
    <w:lvl w:ilvl="3" w:tentative="0">
      <w:start w:val="1"/>
      <w:numFmt w:val="chineseCounting"/>
      <w:lvlText w:val="%4、"/>
      <w:lvlJc w:val="left"/>
      <w:pPr>
        <w:ind w:left="2880"/>
      </w:pPr>
    </w:lvl>
    <w:lvl w:ilvl="4" w:tentative="0">
      <w:start w:val="1"/>
      <w:numFmt w:val="decimal"/>
      <w:lvlText w:val="%5、"/>
      <w:lvlJc w:val="left"/>
      <w:pPr>
        <w:ind w:left="3600"/>
      </w:pPr>
    </w:lvl>
    <w:lvl w:ilvl="5" w:tentative="0">
      <w:start w:val="1"/>
      <w:numFmt w:val="lowerLetter"/>
      <w:lvlText w:val="%6)"/>
      <w:lvlJc w:val="left"/>
      <w:pPr>
        <w:ind w:left="4320"/>
      </w:pPr>
    </w:lvl>
    <w:lvl w:ilvl="6" w:tentative="0">
      <w:start w:val="1"/>
      <w:numFmt w:val="chineseCounting"/>
      <w:lvlText w:val="%7、"/>
      <w:lvlJc w:val="left"/>
      <w:pPr>
        <w:ind w:left="5040"/>
      </w:pPr>
    </w:lvl>
    <w:lvl w:ilvl="7" w:tentative="0">
      <w:start w:val="1"/>
      <w:numFmt w:val="decimal"/>
      <w:lvlText w:val="%8、"/>
      <w:lvlJc w:val="left"/>
      <w:pPr>
        <w:ind w:left="5760"/>
      </w:pPr>
    </w:lvl>
    <w:lvl w:ilvl="8" w:tentative="0">
      <w:start w:val="1"/>
      <w:numFmt w:val="decimal"/>
      <w:lvlText w:val="%9."/>
      <w:lvlJc w:val="left"/>
      <w:pPr>
        <w:tabs>
          <w:tab w:val="left" w:pos="6480"/>
        </w:tabs>
        <w:ind w:left="6480" w:firstLine="65176"/>
      </w:pPr>
    </w:lvl>
  </w:abstractNum>
  <w:abstractNum w:abstractNumId="1">
    <w:nsid w:val="3FE0A535"/>
    <w:multiLevelType w:val="multilevel"/>
    <w:tmpl w:val="3FE0A535"/>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decimal"/>
      <w:lvlText w:val="%9."/>
      <w:lvlJc w:val="left"/>
      <w:pPr>
        <w:tabs>
          <w:tab w:val="left" w:pos="6480"/>
        </w:tabs>
        <w:ind w:left="6480" w:firstLine="65176"/>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D196F"/>
    <w:rsid w:val="040B76C4"/>
    <w:rsid w:val="741D1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湖南分公司</Company>
  <Pages>20</Pages>
  <Words>0</Words>
  <Characters>0</Characters>
  <Lines>0</Lines>
  <Paragraphs>0</Paragraphs>
  <TotalTime>1</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2025-12-06T01:12:00Z</dcterms:created>
  <dc:creator>Administrator</dc:creator>
  <cp:lastModifiedBy>Administrator</cp:lastModifiedBy>
  <dcterms:modified xsi:type="dcterms:W3CDTF">2025-12-06T01:15:56Z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51929C9DBD0B4B2EA8EF6211A920B2C6_11</vt:lpwstr>
  </property>
</Properties>
</file>