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D3F931">
      <w:pPr>
        <w:pStyle w:val="4"/>
        <w:keepNext w:val="0"/>
        <w:keepLines w:val="0"/>
        <w:widowControl/>
        <w:suppressLineNumbers w:val="0"/>
        <w:pBdr>
          <w:bottom w:val="none" w:color="2741B1" w:sz="48" w:space="0"/>
        </w:pBdr>
        <w:spacing w:before="0" w:beforeAutospacing="0" w:after="0" w:afterAutospacing="0" w:line="18" w:lineRule="atLeast"/>
        <w:ind w:left="0" w:right="0"/>
        <w:jc w:val="both"/>
      </w:pPr>
      <w:r>
        <w:rPr>
          <w:rFonts w:hint="eastAsia" w:ascii="宋体" w:hAnsi="宋体" w:eastAsia="宋体" w:cs="宋体"/>
          <w:b w:val="0"/>
          <w:bCs w:val="0"/>
          <w:i w:val="0"/>
          <w:iCs w:val="0"/>
          <w:color w:val="000000"/>
          <w:spacing w:val="0"/>
          <w:w w:val="100"/>
          <w:sz w:val="32"/>
          <w:szCs w:val="32"/>
          <w:vertAlign w:val="baseline"/>
          <w:lang w:val="en-US"/>
        </w:rPr>
        <w:t> </w:t>
      </w:r>
    </w:p>
    <w:p w14:paraId="28579D4D">
      <w:pPr>
        <w:pStyle w:val="4"/>
        <w:keepNext w:val="0"/>
        <w:keepLines w:val="0"/>
        <w:widowControl/>
        <w:suppressLineNumbers w:val="0"/>
        <w:spacing w:before="0" w:beforeAutospacing="0" w:after="0" w:afterAutospacing="0" w:line="18" w:lineRule="atLeast"/>
        <w:ind w:left="0" w:right="0"/>
        <w:jc w:val="center"/>
      </w:pPr>
      <w:r>
        <w:rPr>
          <w:rFonts w:ascii="微软雅黑" w:hAnsi="微软雅黑" w:eastAsia="微软雅黑" w:cs="微软雅黑"/>
          <w:b/>
          <w:bCs/>
          <w:i w:val="0"/>
          <w:iCs w:val="0"/>
          <w:color w:val="000000"/>
          <w:spacing w:val="0"/>
          <w:w w:val="100"/>
          <w:sz w:val="56"/>
          <w:szCs w:val="56"/>
          <w:vertAlign w:val="baseline"/>
        </w:rPr>
        <w:t>大数金融-亿数贷-</w:t>
      </w:r>
      <w:r>
        <w:rPr>
          <w:rFonts w:hint="eastAsia" w:ascii="微软雅黑" w:hAnsi="微软雅黑" w:eastAsia="微软雅黑" w:cs="微软雅黑"/>
          <w:b/>
          <w:bCs/>
          <w:i w:val="0"/>
          <w:iCs w:val="0"/>
          <w:color w:val="000000"/>
          <w:spacing w:val="0"/>
          <w:w w:val="100"/>
          <w:sz w:val="56"/>
          <w:szCs w:val="56"/>
          <w:vertAlign w:val="baseline"/>
        </w:rPr>
        <w:t>产品大纲</w:t>
      </w:r>
    </w:p>
    <w:p w14:paraId="03256349">
      <w:pPr>
        <w:pStyle w:val="4"/>
        <w:keepNext w:val="0"/>
        <w:keepLines w:val="0"/>
        <w:widowControl/>
        <w:suppressLineNumbers w:val="0"/>
        <w:pBdr>
          <w:bottom w:val="none" w:color="2741B1" w:sz="48" w:space="0"/>
        </w:pBdr>
        <w:spacing w:before="0" w:beforeAutospacing="0" w:after="0" w:afterAutospacing="0" w:line="18" w:lineRule="atLeast"/>
        <w:ind w:left="0" w:right="0"/>
        <w:jc w:val="both"/>
      </w:pPr>
      <w:r>
        <w:rPr>
          <w:rFonts w:ascii="黑体" w:hAnsi="宋体" w:eastAsia="黑体" w:cs="黑体"/>
          <w:b w:val="0"/>
          <w:bCs w:val="0"/>
          <w:i w:val="0"/>
          <w:iCs w:val="0"/>
          <w:color w:val="000000"/>
          <w:spacing w:val="0"/>
          <w:w w:val="100"/>
          <w:sz w:val="32"/>
          <w:szCs w:val="32"/>
          <w:vertAlign w:val="baseline"/>
          <w:lang w:val="en-US"/>
        </w:rPr>
        <w:t> </w:t>
      </w:r>
    </w:p>
    <w:p w14:paraId="58D3CB31">
      <w:pPr>
        <w:pStyle w:val="2"/>
        <w:keepNext w:val="0"/>
        <w:keepLines w:val="0"/>
        <w:widowControl/>
        <w:suppressLineNumbers w:val="0"/>
        <w:spacing w:before="240" w:beforeAutospacing="0" w:after="240" w:afterAutospacing="0" w:line="20" w:lineRule="atLeast"/>
        <w:ind w:left="968" w:right="0" w:hanging="968" w:hangingChars="220"/>
        <w:jc w:val="left"/>
      </w:pPr>
      <w:r>
        <w:rPr>
          <w:rFonts w:hint="eastAsia" w:ascii="微软雅黑" w:hAnsi="微软雅黑" w:eastAsia="微软雅黑" w:cs="微软雅黑"/>
          <w:b/>
          <w:bCs/>
          <w:i w:val="0"/>
          <w:iCs w:val="0"/>
          <w:color w:val="000000"/>
          <w:spacing w:val="0"/>
          <w:w w:val="100"/>
          <w:sz w:val="44"/>
          <w:szCs w:val="44"/>
          <w:vertAlign w:val="baseline"/>
          <w:lang w:val="en-US"/>
        </w:rPr>
        <w:t> </w:t>
      </w:r>
    </w:p>
    <w:p w14:paraId="6D1B911E">
      <w:pPr>
        <w:pStyle w:val="2"/>
        <w:keepNext w:val="0"/>
        <w:keepLines w:val="0"/>
        <w:widowControl/>
        <w:suppressLineNumbers w:val="0"/>
        <w:spacing w:before="240" w:beforeAutospacing="0" w:after="240" w:afterAutospacing="0" w:line="20" w:lineRule="atLeast"/>
        <w:ind w:left="968" w:right="0" w:hanging="968" w:hangingChars="220"/>
        <w:jc w:val="left"/>
      </w:pPr>
      <w:r>
        <w:rPr>
          <w:rFonts w:hint="eastAsia" w:ascii="微软雅黑" w:hAnsi="微软雅黑" w:eastAsia="微软雅黑" w:cs="微软雅黑"/>
          <w:b/>
          <w:bCs/>
          <w:i w:val="0"/>
          <w:iCs w:val="0"/>
          <w:color w:val="000000"/>
          <w:spacing w:val="0"/>
          <w:w w:val="100"/>
          <w:sz w:val="44"/>
          <w:szCs w:val="44"/>
          <w:vertAlign w:val="baseline"/>
        </w:rPr>
        <w:t>一、产品要素</w:t>
      </w:r>
    </w:p>
    <w:p w14:paraId="15223CCB">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1、贷款金额：300万</w:t>
      </w:r>
    </w:p>
    <w:p w14:paraId="0F2BC1E2">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2、贷款利息：15%-18%/年化，其中：</w:t>
      </w:r>
    </w:p>
    <w:p w14:paraId="7770DE75">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（1）12期：3%担保费</w:t>
      </w:r>
    </w:p>
    <w:p w14:paraId="51C63E70">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（2）24期：4%担保费</w:t>
      </w:r>
    </w:p>
    <w:p w14:paraId="109E19FC">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3、贷款期限：12/24期 </w:t>
      </w:r>
    </w:p>
    <w:p w14:paraId="4381B6AE">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4、还款方式：等额本息</w:t>
      </w:r>
    </w:p>
    <w:p w14:paraId="349E656E">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23E358D4">
      <w:pPr>
        <w:pStyle w:val="4"/>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0"/>
          <w:szCs w:val="20"/>
          <w:vertAlign w:val="baseline"/>
          <w:lang w:val="en-US"/>
        </w:rPr>
        <w:t> </w:t>
      </w:r>
    </w:p>
    <w:p w14:paraId="6819B025">
      <w:pPr>
        <w:pStyle w:val="2"/>
        <w:keepNext w:val="0"/>
        <w:keepLines w:val="0"/>
        <w:widowControl/>
        <w:suppressLineNumbers w:val="0"/>
        <w:spacing w:before="240" w:beforeAutospacing="0" w:after="240" w:afterAutospacing="0" w:line="20" w:lineRule="atLeast"/>
        <w:ind w:left="0" w:right="0"/>
        <w:jc w:val="left"/>
      </w:pPr>
      <w:r>
        <w:rPr>
          <w:rFonts w:hint="eastAsia" w:ascii="微软雅黑" w:hAnsi="微软雅黑" w:eastAsia="微软雅黑" w:cs="微软雅黑"/>
          <w:b/>
          <w:bCs/>
          <w:i w:val="0"/>
          <w:iCs w:val="0"/>
          <w:color w:val="000000"/>
          <w:spacing w:val="0"/>
          <w:w w:val="100"/>
          <w:sz w:val="44"/>
          <w:szCs w:val="44"/>
          <w:vertAlign w:val="baseline"/>
        </w:rPr>
        <w:t>二、准入要求</w:t>
      </w:r>
    </w:p>
    <w:p w14:paraId="61BC660C">
      <w:pPr>
        <w:pStyle w:val="4"/>
        <w:keepNext w:val="0"/>
        <w:keepLines w:val="0"/>
        <w:widowControl/>
        <w:suppressLineNumbers w:val="0"/>
        <w:spacing w:before="0" w:beforeAutospacing="0" w:after="0" w:afterAutospacing="0" w:line="18" w:lineRule="atLeast"/>
        <w:ind w:left="0" w:right="0"/>
        <w:jc w:val="both"/>
      </w:pPr>
      <w:r>
        <w:rPr>
          <w:rFonts w:ascii="等线" w:hAnsi="等线" w:eastAsia="等线" w:cs="等线"/>
          <w:b w:val="0"/>
          <w:bCs w:val="0"/>
          <w:i w:val="0"/>
          <w:iCs w:val="0"/>
          <w:color w:val="000000"/>
          <w:spacing w:val="0"/>
          <w:w w:val="100"/>
          <w:sz w:val="21"/>
          <w:szCs w:val="21"/>
          <w:vertAlign w:val="baseline"/>
          <w:lang w:val="en-US"/>
        </w:rPr>
        <w:t> </w:t>
      </w:r>
    </w:p>
    <w:p w14:paraId="22DBC156">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1、年龄：22-60周岁</w:t>
      </w:r>
    </w:p>
    <w:p w14:paraId="312DD0D3">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2、申请人：企业法定代表人（无占股要求）</w:t>
      </w:r>
    </w:p>
    <w:p w14:paraId="4DFC425E">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3、近6个月不能有法人或股东变更</w:t>
      </w:r>
    </w:p>
    <w:p w14:paraId="0FE167F9">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（不含当月，例如在1月变更，将从8月1日开始可以申请）</w:t>
      </w:r>
    </w:p>
    <w:p w14:paraId="79F75330">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4、企业成立1年及以上 ，纳税等级ABCM</w:t>
      </w:r>
    </w:p>
    <w:p w14:paraId="04083B79">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5、第一张发票至少在9个月前</w:t>
      </w:r>
    </w:p>
    <w:p w14:paraId="1F815CA1">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6、近12个月开票金额≥100万</w:t>
      </w:r>
    </w:p>
    <w:p w14:paraId="7F21F35F">
      <w:pPr>
        <w:pStyle w:val="4"/>
        <w:keepNext w:val="0"/>
        <w:keepLines w:val="0"/>
        <w:widowControl/>
        <w:suppressLineNumbers w:val="0"/>
        <w:spacing w:before="0" w:beforeAutospacing="0" w:after="0" w:afterAutospacing="0" w:line="18" w:lineRule="atLeast"/>
        <w:ind w:left="0" w:right="0"/>
        <w:jc w:val="both"/>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6425F5AC">
      <w:pPr>
        <w:pStyle w:val="4"/>
        <w:keepNext w:val="0"/>
        <w:keepLines w:val="0"/>
        <w:widowControl/>
        <w:suppressLineNumbers w:val="0"/>
        <w:spacing w:before="0" w:beforeAutospacing="0" w:after="0" w:afterAutospacing="0" w:line="18" w:lineRule="atLeast"/>
        <w:ind w:left="0" w:right="0"/>
        <w:jc w:val="both"/>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5529E594">
      <w:pPr>
        <w:pStyle w:val="2"/>
        <w:keepNext w:val="0"/>
        <w:keepLines w:val="0"/>
        <w:widowControl/>
        <w:suppressLineNumbers w:val="0"/>
        <w:spacing w:before="240" w:beforeAutospacing="0" w:after="240" w:afterAutospacing="0" w:line="20" w:lineRule="atLeast"/>
        <w:ind w:left="0" w:right="0"/>
        <w:jc w:val="left"/>
      </w:pPr>
      <w:r>
        <w:rPr>
          <w:rFonts w:hint="eastAsia" w:ascii="微软雅黑" w:hAnsi="微软雅黑" w:eastAsia="微软雅黑" w:cs="微软雅黑"/>
          <w:b/>
          <w:bCs/>
          <w:i w:val="0"/>
          <w:iCs w:val="0"/>
          <w:color w:val="000000"/>
          <w:spacing w:val="0"/>
          <w:w w:val="100"/>
          <w:sz w:val="44"/>
          <w:szCs w:val="44"/>
          <w:vertAlign w:val="baseline"/>
        </w:rPr>
        <w:t>三、征信要求</w:t>
      </w:r>
    </w:p>
    <w:p w14:paraId="54D2D01C">
      <w:pPr>
        <w:pStyle w:val="4"/>
        <w:keepNext w:val="0"/>
        <w:keepLines w:val="0"/>
        <w:widowControl/>
        <w:suppressLineNumbers w:val="0"/>
        <w:spacing w:before="0" w:beforeAutospacing="0" w:after="0" w:afterAutospacing="0" w:line="18" w:lineRule="atLeast"/>
        <w:ind w:left="0" w:right="0"/>
        <w:jc w:val="both"/>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45450800">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1、白户不可准入</w:t>
      </w:r>
    </w:p>
    <w:p w14:paraId="62396E3F">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2、不能有当前逾期、人行征信分类异常、已到期未结清等</w:t>
      </w:r>
    </w:p>
    <w:p w14:paraId="6290DA68">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3、近3个月贷款逾期次数＜1，近3个月信用卡逾期次数＜3</w:t>
      </w:r>
    </w:p>
    <w:p w14:paraId="20DA985E">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4、近3个月贷款审批查询次数＜13，近6个月＜17，近12个月＜30</w:t>
      </w:r>
    </w:p>
    <w:p w14:paraId="0176A51D">
      <w:pPr>
        <w:pStyle w:val="4"/>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8"/>
          <w:szCs w:val="28"/>
          <w:vertAlign w:val="baseline"/>
        </w:rPr>
        <w:t xml:space="preserve">5、近3个月信用卡审批查询次数&lt;4，近12个月信用卡审批查询次数&lt;11 </w:t>
      </w:r>
    </w:p>
    <w:p w14:paraId="290580F1">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6、近3个月总申请机构数&lt;14，近6个月总申请机构数&lt;20，近12个月总申请次数&lt;35 </w:t>
      </w:r>
    </w:p>
    <w:p w14:paraId="24955913">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7、近12个月不能累5，不能有2，近24个月不能连3累6，不能有3 </w:t>
      </w:r>
    </w:p>
    <w:p w14:paraId="114B80D3">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8、借款人本人、配偶、申报及名下企业在公开信息来源无刑事、失信、限高、涉及民间借贷案件等严重违法行为（含执行中和已结案）</w:t>
      </w:r>
    </w:p>
    <w:p w14:paraId="1B5D4F26">
      <w:pPr>
        <w:pStyle w:val="4"/>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8"/>
          <w:szCs w:val="28"/>
          <w:vertAlign w:val="baseline"/>
        </w:rPr>
        <w:t>9、</w:t>
      </w:r>
      <w:r>
        <w:rPr>
          <w:rFonts w:hint="eastAsia" w:ascii="微软雅黑" w:hAnsi="微软雅黑" w:eastAsia="微软雅黑" w:cs="微软雅黑"/>
          <w:b w:val="0"/>
          <w:bCs w:val="0"/>
          <w:i w:val="0"/>
          <w:iCs w:val="0"/>
          <w:color w:val="FF0000"/>
          <w:spacing w:val="0"/>
          <w:w w:val="100"/>
          <w:sz w:val="28"/>
          <w:szCs w:val="28"/>
          <w:vertAlign w:val="baseline"/>
        </w:rPr>
        <w:t xml:space="preserve">信用负债&lt;=500W </w:t>
      </w:r>
    </w:p>
    <w:p w14:paraId="46E08CF2">
      <w:pPr>
        <w:pStyle w:val="4"/>
        <w:keepNext w:val="0"/>
        <w:keepLines w:val="0"/>
        <w:widowControl/>
        <w:suppressLineNumbers w:val="0"/>
        <w:spacing w:before="0" w:beforeAutospacing="0" w:after="0" w:afterAutospacing="0"/>
        <w:ind w:left="0" w:right="0"/>
        <w:jc w:val="both"/>
      </w:pPr>
      <w:r>
        <w:rPr>
          <w:rFonts w:hint="eastAsia" w:ascii="等线" w:hAnsi="等线" w:eastAsia="等线" w:cs="等线"/>
          <w:b w:val="0"/>
          <w:bCs w:val="0"/>
          <w:i w:val="0"/>
          <w:iCs w:val="0"/>
          <w:color w:val="000000"/>
          <w:spacing w:val="0"/>
          <w:w w:val="100"/>
          <w:sz w:val="21"/>
          <w:szCs w:val="21"/>
          <w:vertAlign w:val="baseline"/>
          <w:lang w:val="en-US"/>
        </w:rPr>
        <w:t> </w:t>
      </w:r>
    </w:p>
    <w:p w14:paraId="05FC8E5D">
      <w:pPr>
        <w:pStyle w:val="2"/>
        <w:keepNext w:val="0"/>
        <w:keepLines w:val="0"/>
        <w:widowControl/>
        <w:suppressLineNumbers w:val="0"/>
        <w:spacing w:before="240" w:beforeAutospacing="0" w:after="240" w:afterAutospacing="0" w:line="20" w:lineRule="atLeast"/>
        <w:ind w:left="0" w:right="0"/>
        <w:jc w:val="left"/>
      </w:pPr>
      <w:r>
        <w:rPr>
          <w:rFonts w:hint="eastAsia" w:ascii="微软雅黑" w:hAnsi="微软雅黑" w:eastAsia="微软雅黑" w:cs="微软雅黑"/>
          <w:b/>
          <w:bCs/>
          <w:i w:val="0"/>
          <w:iCs w:val="0"/>
          <w:color w:val="000000"/>
          <w:spacing w:val="0"/>
          <w:w w:val="100"/>
          <w:sz w:val="44"/>
          <w:szCs w:val="44"/>
          <w:vertAlign w:val="baseline"/>
        </w:rPr>
        <w:t>四、准入区域</w:t>
      </w:r>
    </w:p>
    <w:p w14:paraId="5E3310A9">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1D243120">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全部准入：北京市、天津市、河北省、山西省、上海市、江苏省、浙江省、安徽省、福建省、江西省、山东省、广东省、广西壮族自治区、重庆市、陕西省</w:t>
      </w:r>
    </w:p>
    <w:p w14:paraId="3A12627C">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吉林省：长春市、吉林市</w:t>
      </w:r>
    </w:p>
    <w:p w14:paraId="767E035C">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河南省：郑州市、开封市、洛阳市、新乡市、许昌市</w:t>
      </w:r>
    </w:p>
    <w:p w14:paraId="0EADBD1D">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湖北省：武汉市、黄石市、十堰市、宜昌市、襄阳市、鄂州市、荆门市、孝感市、荆州市、黄冈市、咸宁市、随州市</w:t>
      </w:r>
    </w:p>
    <w:p w14:paraId="52DFC4CF">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湖南省：长沙市、株洲市、湘潭市、衡阳市、邵阳市、岳阳市、常德市、张家界市、益阳市、郴州市、永州市、怀化市、娄底市</w:t>
      </w:r>
    </w:p>
    <w:p w14:paraId="23DAC617">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四川省：成都市、自贡市、攀枝花市、泸州市、德阳市、绵阳市、广元市、遂宁市、内江市、乐山市、南充市、眉山市、宜宾市、广安市、达州市、雅安市、巴中市、资阳市</w:t>
      </w:r>
    </w:p>
    <w:p w14:paraId="53226923">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贵州省：贵阳市、六盘水市、遵义市、安顺市、毕节市、铜仁市</w:t>
      </w:r>
    </w:p>
    <w:p w14:paraId="4680E384">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云南省：昆明市、曲靖市、玉溪市</w:t>
      </w:r>
    </w:p>
    <w:p w14:paraId="151F4239">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28049834">
      <w:pPr>
        <w:pStyle w:val="4"/>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FF0000"/>
          <w:spacing w:val="0"/>
          <w:w w:val="100"/>
          <w:sz w:val="28"/>
          <w:szCs w:val="28"/>
          <w:vertAlign w:val="baseline"/>
        </w:rPr>
        <w:t>备注： 准入省市下的自治州、自治县地区不准入</w:t>
      </w:r>
    </w:p>
    <w:p w14:paraId="6642EE14">
      <w:pPr>
        <w:pStyle w:val="4"/>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FF0000"/>
          <w:spacing w:val="0"/>
          <w:w w:val="100"/>
          <w:sz w:val="28"/>
          <w:szCs w:val="28"/>
          <w:vertAlign w:val="baseline"/>
        </w:rPr>
        <w:t>部分合并的新区也不准入，例如西咸新区、雄安新区 (待補充）</w:t>
      </w:r>
    </w:p>
    <w:p w14:paraId="767F8767">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0729DF18">
      <w:pPr>
        <w:pStyle w:val="4"/>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6CEE7625">
      <w:pPr>
        <w:pStyle w:val="4"/>
        <w:keepNext w:val="0"/>
        <w:keepLines w:val="0"/>
        <w:widowControl/>
        <w:suppressLineNumbers w:val="0"/>
        <w:spacing w:before="0" w:beforeAutospacing="0" w:after="0" w:afterAutospacing="0"/>
        <w:ind w:left="0" w:right="0"/>
        <w:jc w:val="both"/>
      </w:pPr>
      <w:r>
        <w:rPr>
          <w:rFonts w:hint="eastAsia" w:ascii="等线" w:hAnsi="等线" w:eastAsia="等线" w:cs="等线"/>
          <w:b w:val="0"/>
          <w:bCs w:val="0"/>
          <w:i w:val="0"/>
          <w:iCs w:val="0"/>
          <w:color w:val="000000"/>
          <w:spacing w:val="0"/>
          <w:w w:val="100"/>
          <w:sz w:val="21"/>
          <w:szCs w:val="21"/>
          <w:vertAlign w:val="baseline"/>
          <w:lang w:val="en-US"/>
        </w:rPr>
        <w:t> </w:t>
      </w:r>
    </w:p>
    <w:p w14:paraId="2A84D221">
      <w:pPr>
        <w:pStyle w:val="2"/>
        <w:keepNext w:val="0"/>
        <w:keepLines w:val="0"/>
        <w:widowControl/>
        <w:suppressLineNumbers w:val="0"/>
        <w:spacing w:before="240" w:beforeAutospacing="0" w:after="240" w:afterAutospacing="0" w:line="20" w:lineRule="atLeast"/>
        <w:ind w:left="0" w:right="0"/>
        <w:jc w:val="left"/>
      </w:pPr>
      <w:r>
        <w:rPr>
          <w:rFonts w:hint="eastAsia" w:ascii="微软雅黑" w:hAnsi="微软雅黑" w:eastAsia="微软雅黑" w:cs="微软雅黑"/>
          <w:b/>
          <w:bCs/>
          <w:i w:val="0"/>
          <w:iCs w:val="0"/>
          <w:color w:val="000000"/>
          <w:spacing w:val="0"/>
          <w:w w:val="100"/>
          <w:sz w:val="44"/>
          <w:szCs w:val="44"/>
          <w:vertAlign w:val="baseline"/>
        </w:rPr>
        <w:t>五、禁入行业</w:t>
      </w:r>
    </w:p>
    <w:p w14:paraId="3260D65D">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禁入：采矿、房地产、金融、两高一剩企业、国家机关单位、国际组织、电力热力燃气及水生产和供应业、休闲娱乐业、制造业：结构性金属制品制造、部分建筑工程</w:t>
      </w:r>
      <w:bookmarkStart w:id="0" w:name="_GoBack"/>
      <w:bookmarkEnd w:id="0"/>
      <w:r>
        <w:rPr>
          <w:rFonts w:hint="eastAsia" w:ascii="微软雅黑" w:hAnsi="微软雅黑" w:eastAsia="微软雅黑" w:cs="微软雅黑"/>
          <w:b w:val="0"/>
          <w:bCs w:val="0"/>
          <w:i w:val="0"/>
          <w:iCs w:val="0"/>
          <w:color w:val="000000"/>
          <w:spacing w:val="0"/>
          <w:w w:val="100"/>
          <w:sz w:val="28"/>
          <w:szCs w:val="28"/>
          <w:vertAlign w:val="baseline"/>
        </w:rPr>
        <w:t xml:space="preserve">类，慎入（从严行业）学科类培训 </w:t>
      </w:r>
    </w:p>
    <w:p w14:paraId="6D86BE1F">
      <w:pPr>
        <w:pStyle w:val="2"/>
        <w:keepNext w:val="0"/>
        <w:keepLines w:val="0"/>
        <w:widowControl/>
        <w:suppressLineNumbers w:val="0"/>
        <w:spacing w:before="240" w:beforeAutospacing="0" w:after="240" w:afterAutospacing="0" w:line="20" w:lineRule="atLeast"/>
        <w:ind w:left="0" w:right="0"/>
        <w:jc w:val="left"/>
      </w:pPr>
      <w:r>
        <w:rPr>
          <w:rFonts w:hint="eastAsia" w:ascii="微软雅黑" w:hAnsi="微软雅黑" w:eastAsia="微软雅黑" w:cs="微软雅黑"/>
          <w:b/>
          <w:bCs/>
          <w:i w:val="0"/>
          <w:iCs w:val="0"/>
          <w:color w:val="000000"/>
          <w:spacing w:val="0"/>
          <w:w w:val="100"/>
          <w:sz w:val="44"/>
          <w:szCs w:val="44"/>
          <w:vertAlign w:val="baseline"/>
        </w:rPr>
        <w:t>六、操作指引</w:t>
      </w:r>
    </w:p>
    <w:p w14:paraId="726C3A54">
      <w:pPr>
        <w:pStyle w:val="4"/>
        <w:keepNext w:val="0"/>
        <w:keepLines w:val="0"/>
        <w:widowControl/>
        <w:suppressLineNumbers w:val="0"/>
        <w:spacing w:before="0" w:beforeAutospacing="0" w:after="0" w:afterAutospacing="0"/>
        <w:ind w:left="0" w:right="0"/>
        <w:jc w:val="both"/>
      </w:pPr>
      <w:r>
        <w:drawing>
          <wp:inline distT="0" distB="0" distL="114300" distR="114300">
            <wp:extent cx="5400040" cy="1926590"/>
            <wp:effectExtent l="0" t="0" r="10160" b="889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5400040" cy="1926590"/>
                    </a:xfrm>
                    <a:prstGeom prst="rect">
                      <a:avLst/>
                    </a:prstGeom>
                    <a:noFill/>
                    <a:ln w="9525">
                      <a:noFill/>
                    </a:ln>
                  </pic:spPr>
                </pic:pic>
              </a:graphicData>
            </a:graphic>
          </wp:inline>
        </w:drawing>
      </w:r>
    </w:p>
    <w:p w14:paraId="4AED508B">
      <w:pPr>
        <w:pStyle w:val="3"/>
        <w:keepNext w:val="0"/>
        <w:keepLines w:val="0"/>
        <w:widowControl/>
        <w:suppressLineNumbers w:val="0"/>
        <w:spacing w:before="240" w:beforeAutospacing="0" w:after="240" w:afterAutospacing="0" w:line="20" w:lineRule="atLeast"/>
        <w:ind w:left="0" w:right="0"/>
        <w:jc w:val="left"/>
      </w:pPr>
      <w:r>
        <w:rPr>
          <w:rFonts w:hint="eastAsia" w:ascii="微软雅黑" w:hAnsi="微软雅黑" w:eastAsia="微软雅黑" w:cs="微软雅黑"/>
          <w:b/>
          <w:bCs/>
          <w:i w:val="0"/>
          <w:iCs w:val="0"/>
          <w:color w:val="000000"/>
          <w:spacing w:val="0"/>
          <w:w w:val="100"/>
          <w:sz w:val="28"/>
          <w:szCs w:val="28"/>
          <w:vertAlign w:val="baseline"/>
        </w:rPr>
        <w:t>申请流程</w:t>
      </w:r>
    </w:p>
    <w:p w14:paraId="53742F22">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注册、进行实名认证</w:t>
      </w:r>
    </w:p>
    <w:p w14:paraId="0F5F4C50">
      <w:pPr>
        <w:pStyle w:val="4"/>
        <w:keepNext w:val="0"/>
        <w:keepLines w:val="0"/>
        <w:widowControl/>
        <w:suppressLineNumbers w:val="0"/>
        <w:spacing w:before="0" w:beforeAutospacing="0" w:after="0" w:afterAutospacing="0"/>
        <w:ind w:left="0" w:right="0"/>
        <w:jc w:val="left"/>
      </w:pPr>
      <w:r>
        <w:drawing>
          <wp:inline distT="0" distB="0" distL="114300" distR="114300">
            <wp:extent cx="5400040" cy="2896870"/>
            <wp:effectExtent l="0" t="0" r="10160" b="1397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400040" cy="2896870"/>
                    </a:xfrm>
                    <a:prstGeom prst="rect">
                      <a:avLst/>
                    </a:prstGeom>
                    <a:noFill/>
                    <a:ln w="9525">
                      <a:noFill/>
                    </a:ln>
                  </pic:spPr>
                </pic:pic>
              </a:graphicData>
            </a:graphic>
          </wp:inline>
        </w:drawing>
      </w:r>
    </w:p>
    <w:p w14:paraId="512F9017">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线上授权</w:t>
      </w:r>
    </w:p>
    <w:p w14:paraId="539CF86A">
      <w:pPr>
        <w:pStyle w:val="4"/>
        <w:keepNext w:val="0"/>
        <w:keepLines w:val="0"/>
        <w:widowControl/>
        <w:suppressLineNumbers w:val="0"/>
        <w:spacing w:before="0" w:beforeAutospacing="0" w:after="0" w:afterAutospacing="0"/>
        <w:ind w:left="0" w:right="0"/>
        <w:jc w:val="left"/>
      </w:pPr>
      <w:r>
        <w:drawing>
          <wp:inline distT="0" distB="0" distL="114300" distR="114300">
            <wp:extent cx="5400040" cy="2561590"/>
            <wp:effectExtent l="0" t="0" r="10160" b="13970"/>
            <wp:docPr id="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8"/>
                    <pic:cNvPicPr>
                      <a:picLocks noChangeAspect="1"/>
                    </pic:cNvPicPr>
                  </pic:nvPicPr>
                  <pic:blipFill>
                    <a:blip r:embed="rId6"/>
                    <a:stretch>
                      <a:fillRect/>
                    </a:stretch>
                  </pic:blipFill>
                  <pic:spPr>
                    <a:xfrm>
                      <a:off x="0" y="0"/>
                      <a:ext cx="5400040" cy="2561590"/>
                    </a:xfrm>
                    <a:prstGeom prst="rect">
                      <a:avLst/>
                    </a:prstGeom>
                    <a:noFill/>
                    <a:ln w="9525">
                      <a:noFill/>
                    </a:ln>
                  </pic:spPr>
                </pic:pic>
              </a:graphicData>
            </a:graphic>
          </wp:inline>
        </w:drawing>
      </w:r>
    </w:p>
    <w:p w14:paraId="5C3E459A">
      <w:pPr>
        <w:pStyle w:val="4"/>
        <w:keepNext w:val="0"/>
        <w:keepLines w:val="0"/>
        <w:widowControl/>
        <w:suppressLineNumbers w:val="0"/>
        <w:spacing w:before="0" w:beforeAutospacing="0" w:after="0" w:afterAutospacing="0" w:line="16" w:lineRule="atLeast"/>
        <w:ind w:left="0" w:right="0"/>
        <w:jc w:val="both"/>
      </w:pPr>
      <w:r>
        <w:rPr>
          <w:rFonts w:hint="eastAsia" w:ascii="微软雅黑" w:hAnsi="微软雅黑" w:eastAsia="微软雅黑" w:cs="微软雅黑"/>
          <w:b w:val="0"/>
          <w:bCs w:val="0"/>
          <w:i w:val="0"/>
          <w:iCs w:val="0"/>
          <w:color w:val="C00000"/>
          <w:spacing w:val="0"/>
          <w:w w:val="100"/>
          <w:sz w:val="28"/>
          <w:szCs w:val="28"/>
          <w:vertAlign w:val="baseline"/>
        </w:rPr>
        <w:t>注意：江西地区客户只能使用插件授权</w:t>
      </w:r>
    </w:p>
    <w:p w14:paraId="10FB96BB">
      <w:pPr>
        <w:pStyle w:val="4"/>
        <w:keepNext w:val="0"/>
        <w:keepLines w:val="0"/>
        <w:widowControl/>
        <w:suppressLineNumbers w:val="0"/>
        <w:spacing w:before="0" w:beforeAutospacing="0" w:after="0" w:afterAutospacing="0"/>
        <w:ind w:left="0" w:right="0"/>
        <w:jc w:val="left"/>
      </w:pPr>
      <w:r>
        <w:drawing>
          <wp:inline distT="0" distB="0" distL="114300" distR="114300">
            <wp:extent cx="2733675" cy="4876800"/>
            <wp:effectExtent l="0" t="0" r="9525" b="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2733675" cy="4876800"/>
                    </a:xfrm>
                    <a:prstGeom prst="rect">
                      <a:avLst/>
                    </a:prstGeom>
                    <a:noFill/>
                    <a:ln w="9525">
                      <a:noFill/>
                    </a:ln>
                  </pic:spPr>
                </pic:pic>
              </a:graphicData>
            </a:graphic>
          </wp:inline>
        </w:drawing>
      </w:r>
    </w:p>
    <w:p w14:paraId="120E2043">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详细步骤指引：</w:t>
      </w:r>
      <w:r>
        <w:fldChar w:fldCharType="begin"/>
      </w:r>
      <w:r>
        <w:instrText xml:space="preserve"> HYPERLINK "https://mloan.dashuf.com/tsapw/" \l "/invoiceGuide" </w:instrText>
      </w:r>
      <w:r>
        <w:fldChar w:fldCharType="separate"/>
      </w:r>
      <w:r>
        <w:rPr>
          <w:rStyle w:val="7"/>
          <w:rFonts w:hint="eastAsia" w:ascii="微软雅黑" w:hAnsi="微软雅黑" w:eastAsia="微软雅黑" w:cs="微软雅黑"/>
          <w:b w:val="0"/>
          <w:bCs w:val="0"/>
          <w:i w:val="0"/>
          <w:iCs w:val="0"/>
          <w:color w:val="0000FF"/>
          <w:spacing w:val="0"/>
          <w:w w:val="100"/>
          <w:sz w:val="28"/>
          <w:szCs w:val="28"/>
          <w:u w:val="single"/>
          <w:vertAlign w:val="baseline"/>
        </w:rPr>
        <w:t>发票数据上传教程 (dashuf.com)</w:t>
      </w:r>
      <w:r>
        <w:fldChar w:fldCharType="end"/>
      </w:r>
    </w:p>
    <w:p w14:paraId="03732BB0">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21307A81">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完善信息，签署授信合同</w:t>
      </w:r>
      <w:r>
        <w:drawing>
          <wp:inline distT="0" distB="0" distL="114300" distR="114300">
            <wp:extent cx="5400040" cy="2977515"/>
            <wp:effectExtent l="0" t="0" r="10160" b="9525"/>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5400040" cy="2977515"/>
                    </a:xfrm>
                    <a:prstGeom prst="rect">
                      <a:avLst/>
                    </a:prstGeom>
                    <a:noFill/>
                    <a:ln w="9525">
                      <a:noFill/>
                    </a:ln>
                  </pic:spPr>
                </pic:pic>
              </a:graphicData>
            </a:graphic>
          </wp:inline>
        </w:drawing>
      </w:r>
    </w:p>
    <w:p w14:paraId="2E0EB294">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完成银行开户，提交授信</w:t>
      </w:r>
    </w:p>
    <w:p w14:paraId="4F5A324C">
      <w:pPr>
        <w:pStyle w:val="4"/>
        <w:keepNext w:val="0"/>
        <w:keepLines w:val="0"/>
        <w:widowControl/>
        <w:suppressLineNumbers w:val="0"/>
        <w:spacing w:before="0" w:beforeAutospacing="0" w:after="0" w:afterAutospacing="0"/>
        <w:ind w:left="0" w:right="0"/>
        <w:jc w:val="left"/>
      </w:pPr>
      <w:r>
        <w:drawing>
          <wp:inline distT="0" distB="0" distL="114300" distR="114300">
            <wp:extent cx="5562600" cy="5629275"/>
            <wp:effectExtent l="0" t="0" r="0" b="952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5562600" cy="5629275"/>
                    </a:xfrm>
                    <a:prstGeom prst="rect">
                      <a:avLst/>
                    </a:prstGeom>
                    <a:noFill/>
                    <a:ln w="9525">
                      <a:noFill/>
                    </a:ln>
                  </pic:spPr>
                </pic:pic>
              </a:graphicData>
            </a:graphic>
          </wp:inline>
        </w:drawing>
      </w:r>
    </w:p>
    <w:p w14:paraId="23E863DB">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6F3DB104">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1D2AFCB9">
      <w:pPr>
        <w:pStyle w:val="3"/>
        <w:keepNext w:val="0"/>
        <w:keepLines w:val="0"/>
        <w:widowControl/>
        <w:suppressLineNumbers w:val="0"/>
        <w:spacing w:before="240" w:beforeAutospacing="0" w:after="240" w:afterAutospacing="0" w:line="20" w:lineRule="atLeast"/>
        <w:ind w:left="0" w:right="0"/>
        <w:jc w:val="left"/>
      </w:pPr>
      <w:r>
        <w:rPr>
          <w:rFonts w:hint="eastAsia" w:ascii="微软雅黑" w:hAnsi="微软雅黑" w:eastAsia="微软雅黑" w:cs="微软雅黑"/>
          <w:b/>
          <w:bCs/>
          <w:i w:val="0"/>
          <w:iCs w:val="0"/>
          <w:color w:val="000000"/>
          <w:spacing w:val="0"/>
          <w:w w:val="100"/>
          <w:sz w:val="28"/>
          <w:szCs w:val="28"/>
          <w:vertAlign w:val="baseline"/>
        </w:rPr>
        <w:t>提款流程</w:t>
      </w:r>
    </w:p>
    <w:p w14:paraId="2EDDAD1E">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激活额度（担保类型为 保证）</w:t>
      </w:r>
    </w:p>
    <w:p w14:paraId="3D6CF799">
      <w:pPr>
        <w:pStyle w:val="4"/>
        <w:keepNext w:val="0"/>
        <w:keepLines w:val="0"/>
        <w:widowControl/>
        <w:suppressLineNumbers w:val="0"/>
        <w:spacing w:before="0" w:beforeAutospacing="0" w:after="0" w:afterAutospacing="0"/>
        <w:ind w:left="0" w:right="0"/>
        <w:jc w:val="left"/>
      </w:pPr>
      <w:r>
        <w:drawing>
          <wp:inline distT="0" distB="0" distL="114300" distR="114300">
            <wp:extent cx="5400040" cy="2802255"/>
            <wp:effectExtent l="0" t="0" r="10160" b="190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5400040" cy="2802255"/>
                    </a:xfrm>
                    <a:prstGeom prst="rect">
                      <a:avLst/>
                    </a:prstGeom>
                    <a:noFill/>
                    <a:ln w="9525">
                      <a:noFill/>
                    </a:ln>
                  </pic:spPr>
                </pic:pic>
              </a:graphicData>
            </a:graphic>
          </wp:inline>
        </w:drawing>
      </w:r>
    </w:p>
    <w:p w14:paraId="61DD686E">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签署借款合同，支付担保费</w:t>
      </w:r>
    </w:p>
    <w:p w14:paraId="23F0C171">
      <w:pPr>
        <w:pStyle w:val="4"/>
        <w:keepNext w:val="0"/>
        <w:keepLines w:val="0"/>
        <w:widowControl/>
        <w:suppressLineNumbers w:val="0"/>
        <w:spacing w:before="0" w:beforeAutospacing="0" w:after="0" w:afterAutospacing="0"/>
        <w:ind w:left="0" w:right="0"/>
        <w:jc w:val="left"/>
      </w:pPr>
      <w:r>
        <w:drawing>
          <wp:inline distT="0" distB="0" distL="114300" distR="114300">
            <wp:extent cx="5400040" cy="2809240"/>
            <wp:effectExtent l="0" t="0" r="10160" b="10160"/>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11"/>
                    <a:stretch>
                      <a:fillRect/>
                    </a:stretch>
                  </pic:blipFill>
                  <pic:spPr>
                    <a:xfrm>
                      <a:off x="0" y="0"/>
                      <a:ext cx="5400040" cy="2809240"/>
                    </a:xfrm>
                    <a:prstGeom prst="rect">
                      <a:avLst/>
                    </a:prstGeom>
                    <a:noFill/>
                    <a:ln w="9525">
                      <a:noFill/>
                    </a:ln>
                  </pic:spPr>
                </pic:pic>
              </a:graphicData>
            </a:graphic>
          </wp:inline>
        </w:drawing>
      </w:r>
    </w:p>
    <w:p w14:paraId="08EA7FE4">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一键申请入口位置-否决页、我的申请页</w:t>
      </w:r>
    </w:p>
    <w:p w14:paraId="596AB088">
      <w:pPr>
        <w:pStyle w:val="4"/>
        <w:keepNext w:val="0"/>
        <w:keepLines w:val="0"/>
        <w:widowControl/>
        <w:suppressLineNumbers w:val="0"/>
        <w:spacing w:before="0" w:beforeAutospacing="0" w:after="0" w:afterAutospacing="0"/>
        <w:ind w:left="0" w:right="0"/>
        <w:jc w:val="left"/>
      </w:pPr>
      <w:r>
        <w:drawing>
          <wp:inline distT="0" distB="0" distL="114300" distR="114300">
            <wp:extent cx="5400040" cy="3232785"/>
            <wp:effectExtent l="0" t="0" r="10160" b="13335"/>
            <wp:docPr id="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IMG_264"/>
                    <pic:cNvPicPr>
                      <a:picLocks noChangeAspect="1"/>
                    </pic:cNvPicPr>
                  </pic:nvPicPr>
                  <pic:blipFill>
                    <a:blip r:embed="rId12"/>
                    <a:stretch>
                      <a:fillRect/>
                    </a:stretch>
                  </pic:blipFill>
                  <pic:spPr>
                    <a:xfrm>
                      <a:off x="0" y="0"/>
                      <a:ext cx="5400040" cy="3232785"/>
                    </a:xfrm>
                    <a:prstGeom prst="rect">
                      <a:avLst/>
                    </a:prstGeom>
                    <a:noFill/>
                    <a:ln w="9525">
                      <a:noFill/>
                    </a:ln>
                  </pic:spPr>
                </pic:pic>
              </a:graphicData>
            </a:graphic>
          </wp:inline>
        </w:drawing>
      </w:r>
    </w:p>
    <w:p w14:paraId="021D8DC2">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2336EB39">
      <w:pPr>
        <w:pStyle w:val="4"/>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25BC96D8">
      <w:pPr>
        <w:pStyle w:val="3"/>
        <w:keepNext w:val="0"/>
        <w:keepLines w:val="0"/>
        <w:widowControl/>
        <w:suppressLineNumbers w:val="0"/>
        <w:spacing w:before="240" w:beforeAutospacing="0" w:after="240" w:afterAutospacing="0" w:line="20" w:lineRule="atLeast"/>
        <w:ind w:left="0" w:right="0"/>
        <w:jc w:val="left"/>
      </w:pPr>
      <w:r>
        <w:rPr>
          <w:rFonts w:hint="eastAsia" w:ascii="微软雅黑" w:hAnsi="微软雅黑" w:eastAsia="微软雅黑" w:cs="微软雅黑"/>
          <w:b/>
          <w:bCs/>
          <w:i w:val="0"/>
          <w:iCs w:val="0"/>
          <w:color w:val="000000"/>
          <w:spacing w:val="0"/>
          <w:w w:val="100"/>
          <w:sz w:val="28"/>
          <w:szCs w:val="28"/>
          <w:vertAlign w:val="baseline"/>
        </w:rPr>
        <w:t>还款流程</w:t>
      </w:r>
    </w:p>
    <w:p w14:paraId="58844E25">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查询还款计划</w:t>
      </w:r>
    </w:p>
    <w:p w14:paraId="77AF91DB">
      <w:pPr>
        <w:pStyle w:val="4"/>
        <w:keepNext w:val="0"/>
        <w:keepLines w:val="0"/>
        <w:widowControl/>
        <w:suppressLineNumbers w:val="0"/>
        <w:spacing w:before="0" w:beforeAutospacing="0" w:after="0" w:afterAutospacing="0"/>
        <w:ind w:left="0" w:right="0"/>
        <w:jc w:val="left"/>
      </w:pPr>
      <w:r>
        <w:drawing>
          <wp:inline distT="0" distB="0" distL="114300" distR="114300">
            <wp:extent cx="5095875" cy="5762625"/>
            <wp:effectExtent l="0" t="0" r="9525" b="1333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5095875" cy="5762625"/>
                    </a:xfrm>
                    <a:prstGeom prst="rect">
                      <a:avLst/>
                    </a:prstGeom>
                    <a:noFill/>
                    <a:ln w="9525">
                      <a:noFill/>
                    </a:ln>
                  </pic:spPr>
                </pic:pic>
              </a:graphicData>
            </a:graphic>
          </wp:inline>
        </w:drawing>
      </w:r>
    </w:p>
    <w:p w14:paraId="29A25FF4">
      <w:pPr>
        <w:pStyle w:val="4"/>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30E6F02E">
      <w:pPr>
        <w:pStyle w:val="4"/>
        <w:keepNext w:val="0"/>
        <w:keepLines w:val="0"/>
        <w:widowControl/>
        <w:suppressLineNumbers w:val="0"/>
        <w:spacing w:before="0" w:beforeAutospacing="0" w:after="0" w:afterAutospacing="0" w:line="18" w:lineRule="atLeast"/>
        <w:ind w:left="0" w:right="0"/>
        <w:jc w:val="both"/>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38618A62">
      <w:pPr>
        <w:pStyle w:val="2"/>
        <w:keepNext w:val="0"/>
        <w:keepLines w:val="0"/>
        <w:widowControl/>
        <w:suppressLineNumbers w:val="0"/>
        <w:spacing w:before="240" w:beforeAutospacing="0" w:after="240" w:afterAutospacing="0" w:line="20" w:lineRule="atLeast"/>
        <w:ind w:left="0" w:right="0"/>
        <w:jc w:val="left"/>
      </w:pPr>
      <w:r>
        <w:rPr>
          <w:rFonts w:hint="eastAsia" w:ascii="微软雅黑" w:hAnsi="微软雅黑" w:eastAsia="微软雅黑" w:cs="微软雅黑"/>
          <w:b/>
          <w:bCs/>
          <w:i w:val="0"/>
          <w:iCs w:val="0"/>
          <w:color w:val="000000"/>
          <w:spacing w:val="0"/>
          <w:w w:val="100"/>
          <w:sz w:val="44"/>
          <w:szCs w:val="44"/>
          <w:vertAlign w:val="baseline"/>
        </w:rPr>
        <w:t>常见问题</w:t>
      </w:r>
    </w:p>
    <w:p w14:paraId="14CE5DE3">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226CFA97">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关联业务互斥</w:t>
      </w:r>
    </w:p>
    <w:p w14:paraId="07F19195">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亿联银行放款客户互斥，但大数平台产品亿联放款不互斥</w:t>
      </w:r>
    </w:p>
    <w:p w14:paraId="56A58FC2">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76FE2E01">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股东变更是指股东姓名发生增加或减少，如果只是股份变更，股东没变更是否可以继续申请？ </w:t>
      </w:r>
    </w:p>
    <w:p w14:paraId="29D30B04">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股份变更和股东姓名变更都算变更。</w:t>
      </w:r>
    </w:p>
    <w:p w14:paraId="00532A28">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【补充信息】中推荐留什么关系的紧急联系人？ </w:t>
      </w:r>
    </w:p>
    <w:p w14:paraId="1C1C1295">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熟悉申请人和企业的亲属或者朋友。 </w:t>
      </w:r>
    </w:p>
    <w:p w14:paraId="2680E4D8">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3AA33EB2">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是否电核？电核电话是多少？ </w:t>
      </w:r>
    </w:p>
    <w:p w14:paraId="108C4888">
      <w:pPr>
        <w:pStyle w:val="4"/>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8"/>
          <w:szCs w:val="28"/>
          <w:vertAlign w:val="baseline"/>
        </w:rPr>
        <w:t>100%自动审批</w:t>
      </w:r>
      <w:r>
        <w:rPr>
          <w:rFonts w:hint="eastAsia" w:ascii="微软雅黑" w:hAnsi="微软雅黑" w:eastAsia="微软雅黑" w:cs="微软雅黑"/>
          <w:b w:val="0"/>
          <w:bCs w:val="0"/>
          <w:i w:val="0"/>
          <w:iCs w:val="0"/>
          <w:color w:val="000000"/>
          <w:spacing w:val="0"/>
          <w:w w:val="100"/>
          <w:sz w:val="28"/>
          <w:szCs w:val="28"/>
          <w:vertAlign w:val="baseline"/>
        </w:rPr>
        <w:t xml:space="preserve">，无电核。 </w:t>
      </w:r>
    </w:p>
    <w:p w14:paraId="2C66ADEA">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6F79558D">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征信查询主体是什么？ </w:t>
      </w:r>
    </w:p>
    <w:p w14:paraId="71B3DEFC">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征信查询主体是亿联银行和大数融担，大数融担的查询原因是「担保审查」，不影响客户申请其他贷款； 一键申请【微亿贷」时不会额外查询征信。</w:t>
      </w:r>
      <w:r>
        <w:rPr>
          <w:rFonts w:hint="eastAsia" w:ascii="微软雅黑" w:hAnsi="微软雅黑" w:eastAsia="微软雅黑" w:cs="微软雅黑"/>
          <w:b w:val="0"/>
          <w:bCs w:val="0"/>
          <w:i w:val="0"/>
          <w:iCs w:val="0"/>
          <w:color w:val="595959"/>
          <w:spacing w:val="0"/>
          <w:w w:val="100"/>
          <w:sz w:val="28"/>
          <w:szCs w:val="28"/>
          <w:vertAlign w:val="baseline"/>
        </w:rPr>
        <w:t xml:space="preserve"> </w:t>
      </w:r>
    </w:p>
    <w:p w14:paraId="302F055A">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7FD8524B">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放款是否还会在查一遍征信？ </w:t>
      </w:r>
    </w:p>
    <w:p w14:paraId="14D66027">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授信出额的时候查征信，放款不查。 </w:t>
      </w:r>
    </w:p>
    <w:p w14:paraId="5F3F63E0">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046D290C">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支持的银行卡列表信息？ </w:t>
      </w:r>
    </w:p>
    <w:p w14:paraId="3649AB93">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工商银行、中国银行、建设银行、平安银行、招商银行、交通银行、光大银行、中信银行、浦发银行等。如有更新，请以客户页面展示为准。 </w:t>
      </w:r>
    </w:p>
    <w:p w14:paraId="404C2D79">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058CBE15">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周末是否支持放款？ </w:t>
      </w:r>
    </w:p>
    <w:p w14:paraId="7B2A4C9D">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支持的。 </w:t>
      </w:r>
    </w:p>
    <w:p w14:paraId="11213A2A">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2B117A30">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还款金额结构是怎样的？ </w:t>
      </w:r>
    </w:p>
    <w:p w14:paraId="048CBAB1">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每月的还款金额由本金、利息构成，放款前需一次性支付担保费。 </w:t>
      </w:r>
    </w:p>
    <w:p w14:paraId="2102C5D9">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4762C063">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如何支付担保费？ </w:t>
      </w:r>
    </w:p>
    <w:p w14:paraId="3FB3EAFA">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签署合同后会进入担保费支付环节，绑定银行卡后确认支付，将从绑定的银行卡中扣款，请选择扣款限额≥担保费金额的银行卡进行支付，否则会扣款失败。 </w:t>
      </w:r>
    </w:p>
    <w:p w14:paraId="50ECC295">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420E71C0">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亿联银行的放款到哪张卡？有时间限制吗？ </w:t>
      </w:r>
    </w:p>
    <w:p w14:paraId="27BCCF5E">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亿联银行的放款会发放到客户在亿联电子户开户时绑定的实体银行卡。放款时间为每天3:00-22:30 。 </w:t>
      </w:r>
    </w:p>
    <w:p w14:paraId="5DDBDE98">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497A244A">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每期如何还款？ </w:t>
      </w:r>
    </w:p>
    <w:p w14:paraId="3A59C483">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放款次月后，每月的还款日（8号）前将应还的本息和费用（如有）通过亿联银行电子二类户绑定的一类卡转入客户本人的亿联银行的电子二类户，亿联银行从电子户扣款。 </w:t>
      </w:r>
    </w:p>
    <w:p w14:paraId="63A4328F">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5DFC7CE4">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如何向亿联电子户充值进行还款？ </w:t>
      </w:r>
    </w:p>
    <w:p w14:paraId="34FCE9B7">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通过亿联电子户绑定的银行卡的手机银行或网银对电子户进行转账即可，转账中填入的收款账号为客户本人的亿联电子户的账号，收款人姓名为本人，选择的银行为「吉林亿联银行」或者在「民营银行」中选择「吉林省-长春市-吉林亿联银行」。 </w:t>
      </w:r>
    </w:p>
    <w:p w14:paraId="557E8965">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43408757">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亿联银行提前还款有什么限制吗？ </w:t>
      </w:r>
    </w:p>
    <w:p w14:paraId="2E0AD68C">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目前只支持全部提前结清，除了放款当天、还款日当天、逾期状态外，其他情况均可申请提前结清，提前还款无违约金。提前结清可关注公众号“大数服务号”进行预约或了解详细步骤拨打客服热线400-0819969。 </w:t>
      </w:r>
    </w:p>
    <w:p w14:paraId="6D1AE739">
      <w:pPr>
        <w:pStyle w:val="4"/>
        <w:keepNext w:val="0"/>
        <w:keepLines w:val="0"/>
        <w:widowControl/>
        <w:suppressLineNumbers w:val="0"/>
        <w:spacing w:before="0" w:beforeAutospacing="0" w:after="0" w:afterAutospacing="0"/>
        <w:ind w:left="0" w:right="0"/>
        <w:jc w:val="both"/>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7AF80FA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512F13"/>
    <w:rsid w:val="30A13F14"/>
    <w:rsid w:val="6A512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湖南分公司</Company>
  <Pages>14</Pages>
  <Words>0</Words>
  <Characters>0</Characters>
  <Lines>0</Lines>
  <Paragraphs>0</Paragraphs>
  <TotalTime>1</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2025-12-05T08:56:00Z</dcterms:created>
  <dc:creator>Administrator</dc:creator>
  <cp:lastModifiedBy>Administrator</cp:lastModifiedBy>
  <dcterms:modified xsi:type="dcterms:W3CDTF">2025-12-05T08:58:12Z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FA43782B38054B2B90C57ABD3656869E_11</vt:lpwstr>
  </property>
</Properties>
</file>