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68A3A" w14:textId="77777777" w:rsidR="001E2493" w:rsidRPr="001E2493" w:rsidRDefault="001E2493" w:rsidP="001E2493">
      <w:pPr>
        <w:shd w:val="clear" w:color="auto" w:fill="FFFFFF"/>
        <w:spacing w:after="0" w:line="240" w:lineRule="auto"/>
        <w:jc w:val="center"/>
        <w:textAlignment w:val="baseline"/>
        <w:rPr>
          <w:rFonts w:ascii="Arial" w:eastAsia="Times New Roman" w:hAnsi="Arial" w:cs="Arial"/>
          <w:color w:val="333333"/>
          <w:sz w:val="18"/>
          <w:szCs w:val="18"/>
        </w:rPr>
      </w:pPr>
      <w:r w:rsidRPr="001E2493">
        <w:rPr>
          <w:rFonts w:ascii="inherit" w:eastAsia="Times New Roman" w:hAnsi="inherit" w:cs="Arial"/>
          <w:b/>
          <w:bCs/>
          <w:color w:val="333333"/>
          <w:sz w:val="18"/>
          <w:szCs w:val="18"/>
          <w:bdr w:val="none" w:sz="0" w:space="0" w:color="auto" w:frame="1"/>
        </w:rPr>
        <w:t>BROAD MONEY DEVELOPMENT</w:t>
      </w:r>
    </w:p>
    <w:p w14:paraId="28E1A831" w14:textId="77777777" w:rsidR="001E2493" w:rsidRPr="001E2493" w:rsidRDefault="001E2493" w:rsidP="001E2493">
      <w:pPr>
        <w:shd w:val="clear" w:color="auto" w:fill="FFFFFF"/>
        <w:spacing w:after="0" w:line="240" w:lineRule="auto"/>
        <w:jc w:val="center"/>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 </w:t>
      </w:r>
    </w:p>
    <w:p w14:paraId="73FE2076" w14:textId="77777777"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National Broad Money covers liabilities of monetary system (central bank, commercial and rural banks) to domestic private sector (excluding central government holdings of central bank liabilities other than currency and non-resident).</w:t>
      </w:r>
    </w:p>
    <w:p w14:paraId="773045B3" w14:textId="77777777"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 </w:t>
      </w:r>
    </w:p>
    <w:p w14:paraId="11EEE788" w14:textId="61C46E42"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National Broad Money may be defined narrowly or broadly. Narrow broad money (M1) may be defined to include Currency Outside Commercial and Rural Banks and Demand Deposits. Broader measure (M2) may cover M1, Saving Deposits, Time Deposits in Rupiah and foreign currency, Demand deposits in foreign currency and Securities other than shares issued by monetary system owned by domestic private sector, with remaining maturity up to 1 (one) year.</w:t>
      </w:r>
    </w:p>
    <w:p w14:paraId="1534F77E" w14:textId="77777777" w:rsidR="001E2493" w:rsidRPr="001E2493" w:rsidRDefault="001E2493" w:rsidP="001E2493">
      <w:pPr>
        <w:shd w:val="clear" w:color="auto" w:fill="FFFFFF"/>
        <w:spacing w:after="0" w:line="240" w:lineRule="auto"/>
        <w:jc w:val="center"/>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 </w:t>
      </w:r>
    </w:p>
    <w:p w14:paraId="2C076142" w14:textId="77777777"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The Affecting Factors of Broad Money or Broad Money Liabilities equal to the sum of Net Foreign Assets (NFA), Net Domestic Assets (NDA) and net other items. NDA measure covers Net Claims on Central Government (NCG) and Other Claims (i.e. Local Government, Other Financial Corporations, Non-Financial Corporations and Households) mainly in the form of Loans.</w:t>
      </w:r>
    </w:p>
    <w:p w14:paraId="322AFB91" w14:textId="77777777" w:rsidR="001E2493" w:rsidRPr="001E2493" w:rsidRDefault="001E2493" w:rsidP="001E2493">
      <w:pPr>
        <w:shd w:val="clear" w:color="auto" w:fill="FFFFFF"/>
        <w:spacing w:after="0" w:line="240" w:lineRule="auto"/>
        <w:jc w:val="center"/>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 </w:t>
      </w:r>
    </w:p>
    <w:p w14:paraId="0FFFD1A9" w14:textId="6E6FA7BB" w:rsid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Broad money and Its affecting factors are compiled based on Monetary and Financial Statistics Manual (MFSM) 2000 and Compilation Guide (2008</w:t>
      </w:r>
      <w:proofErr w:type="gramStart"/>
      <w:r w:rsidRPr="001E2493">
        <w:rPr>
          <w:rFonts w:ascii="Arial" w:eastAsia="Times New Roman" w:hAnsi="Arial" w:cs="Arial"/>
          <w:color w:val="333333"/>
          <w:sz w:val="18"/>
          <w:szCs w:val="18"/>
        </w:rPr>
        <w:t>).The</w:t>
      </w:r>
      <w:proofErr w:type="gramEnd"/>
      <w:r w:rsidRPr="001E2493">
        <w:rPr>
          <w:rFonts w:ascii="Arial" w:eastAsia="Times New Roman" w:hAnsi="Arial" w:cs="Arial"/>
          <w:color w:val="333333"/>
          <w:sz w:val="18"/>
          <w:szCs w:val="18"/>
        </w:rPr>
        <w:t xml:space="preserve"> coverage of Broad Money as figured in the following matrix:</w:t>
      </w:r>
    </w:p>
    <w:p w14:paraId="578F2CC4" w14:textId="77777777" w:rsid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p>
    <w:p w14:paraId="58F01141" w14:textId="2AB53D23" w:rsidR="001E2493" w:rsidRPr="001E2493" w:rsidRDefault="001E2493" w:rsidP="001E2493">
      <w:pPr>
        <w:shd w:val="clear" w:color="auto" w:fill="FFFFFF"/>
        <w:spacing w:after="0" w:line="240" w:lineRule="auto"/>
        <w:jc w:val="both"/>
        <w:textAlignment w:val="baseline"/>
        <w:rPr>
          <w:rFonts w:ascii="Arial" w:eastAsia="Times New Roman" w:hAnsi="Arial" w:cs="Arial"/>
          <w:b/>
          <w:bCs/>
          <w:sz w:val="18"/>
          <w:szCs w:val="18"/>
          <w:bdr w:val="none" w:sz="0" w:space="0" w:color="auto" w:frame="1"/>
          <w:lang w:val="id-ID"/>
        </w:rPr>
      </w:pPr>
      <w:r w:rsidRPr="001E2493">
        <w:rPr>
          <w:rFonts w:ascii="Arial" w:eastAsia="Times New Roman" w:hAnsi="Arial" w:cs="Arial"/>
          <w:b/>
          <w:bCs/>
          <w:color w:val="333333"/>
          <w:sz w:val="18"/>
          <w:szCs w:val="18"/>
        </w:rPr>
        <w:t>Description</w:t>
      </w:r>
      <w:r w:rsidRPr="001E2493">
        <w:rPr>
          <w:rFonts w:ascii="Arial" w:eastAsia="Times New Roman" w:hAnsi="Arial" w:cs="Arial"/>
          <w:b/>
          <w:bCs/>
          <w:color w:val="333333"/>
          <w:sz w:val="18"/>
          <w:szCs w:val="18"/>
        </w:rPr>
        <w:tab/>
      </w:r>
      <w:r>
        <w:rPr>
          <w:rFonts w:ascii="Arial" w:eastAsia="Times New Roman" w:hAnsi="Arial" w:cs="Arial"/>
          <w:b/>
          <w:bCs/>
          <w:color w:val="333333"/>
          <w:sz w:val="18"/>
          <w:szCs w:val="18"/>
        </w:rPr>
        <w:tab/>
      </w:r>
      <w:r w:rsidRPr="001E2493">
        <w:rPr>
          <w:rFonts w:ascii="Arial" w:eastAsia="Times New Roman" w:hAnsi="Arial" w:cs="Arial"/>
          <w:b/>
          <w:bCs/>
          <w:color w:val="333333"/>
          <w:sz w:val="18"/>
          <w:szCs w:val="18"/>
        </w:rPr>
        <w:t xml:space="preserve">Commercial Banks </w:t>
      </w:r>
      <w:r w:rsidRPr="001E2493">
        <w:rPr>
          <w:rFonts w:ascii="Arial" w:eastAsia="Times New Roman" w:hAnsi="Arial" w:cs="Arial"/>
          <w:b/>
          <w:bCs/>
          <w:color w:val="333333"/>
          <w:sz w:val="18"/>
          <w:szCs w:val="18"/>
        </w:rPr>
        <w:tab/>
        <w:t>Rural Bank</w:t>
      </w:r>
      <w:r w:rsidRPr="001E2493">
        <w:rPr>
          <w:rFonts w:ascii="Arial" w:eastAsia="Times New Roman" w:hAnsi="Arial" w:cs="Arial"/>
          <w:b/>
          <w:bCs/>
          <w:color w:val="333333"/>
          <w:sz w:val="18"/>
          <w:szCs w:val="18"/>
        </w:rPr>
        <w:tab/>
        <w:t xml:space="preserve">Bank </w:t>
      </w:r>
      <w:proofErr w:type="spellStart"/>
      <w:r w:rsidRPr="001E2493">
        <w:rPr>
          <w:rFonts w:ascii="Arial" w:eastAsia="Times New Roman" w:hAnsi="Arial" w:cs="Arial"/>
          <w:b/>
          <w:bCs/>
          <w:sz w:val="18"/>
          <w:szCs w:val="18"/>
          <w:bdr w:val="none" w:sz="0" w:space="0" w:color="auto" w:frame="1"/>
          <w:lang w:val="id-ID"/>
        </w:rPr>
        <w:t>Branches</w:t>
      </w:r>
      <w:proofErr w:type="spellEnd"/>
      <w:r w:rsidRPr="001E2493">
        <w:rPr>
          <w:rFonts w:ascii="Arial" w:eastAsia="Times New Roman" w:hAnsi="Arial" w:cs="Arial"/>
          <w:b/>
          <w:bCs/>
          <w:sz w:val="18"/>
          <w:szCs w:val="18"/>
          <w:bdr w:val="none" w:sz="0" w:space="0" w:color="auto" w:frame="1"/>
          <w:lang w:val="id-ID"/>
        </w:rPr>
        <w:t xml:space="preserve"> </w:t>
      </w:r>
      <w:proofErr w:type="spellStart"/>
      <w:r w:rsidRPr="001E2493">
        <w:rPr>
          <w:rFonts w:ascii="Arial" w:eastAsia="Times New Roman" w:hAnsi="Arial" w:cs="Arial"/>
          <w:b/>
          <w:bCs/>
          <w:sz w:val="18"/>
          <w:szCs w:val="18"/>
          <w:bdr w:val="none" w:sz="0" w:space="0" w:color="auto" w:frame="1"/>
          <w:lang w:val="id-ID"/>
        </w:rPr>
        <w:t>Operated</w:t>
      </w:r>
      <w:proofErr w:type="spellEnd"/>
      <w:r w:rsidRPr="001E2493">
        <w:rPr>
          <w:rFonts w:ascii="Arial" w:eastAsia="Times New Roman" w:hAnsi="Arial" w:cs="Arial"/>
          <w:b/>
          <w:bCs/>
          <w:sz w:val="18"/>
          <w:szCs w:val="18"/>
          <w:bdr w:val="none" w:sz="0" w:space="0" w:color="auto" w:frame="1"/>
          <w:lang w:val="id-ID"/>
        </w:rPr>
        <w:t xml:space="preserve"> </w:t>
      </w:r>
      <w:proofErr w:type="spellStart"/>
      <w:r w:rsidRPr="001E2493">
        <w:rPr>
          <w:rFonts w:ascii="Arial" w:eastAsia="Times New Roman" w:hAnsi="Arial" w:cs="Arial"/>
          <w:b/>
          <w:bCs/>
          <w:sz w:val="18"/>
          <w:szCs w:val="18"/>
          <w:bdr w:val="none" w:sz="0" w:space="0" w:color="auto" w:frame="1"/>
          <w:lang w:val="id-ID"/>
        </w:rPr>
        <w:t>Abroad</w:t>
      </w:r>
      <w:proofErr w:type="spellEnd"/>
    </w:p>
    <w:p w14:paraId="2681ED07" w14:textId="05F72AB4" w:rsidR="001E2493" w:rsidRPr="001E2493" w:rsidRDefault="001E2493" w:rsidP="001E2493">
      <w:pPr>
        <w:shd w:val="clear" w:color="auto" w:fill="FFFFFF"/>
        <w:spacing w:after="0" w:line="240" w:lineRule="auto"/>
        <w:jc w:val="both"/>
        <w:textAlignment w:val="baseline"/>
        <w:rPr>
          <w:rFonts w:ascii="Arial" w:eastAsia="Times New Roman" w:hAnsi="Arial" w:cs="Arial"/>
          <w:sz w:val="18"/>
          <w:szCs w:val="18"/>
          <w:bdr w:val="none" w:sz="0" w:space="0" w:color="auto" w:frame="1"/>
          <w:lang w:val="id-ID"/>
        </w:rPr>
      </w:pPr>
      <w:r w:rsidRPr="001E2493">
        <w:rPr>
          <w:rFonts w:ascii="Arial" w:eastAsia="Times New Roman" w:hAnsi="Arial" w:cs="Arial"/>
          <w:color w:val="333333"/>
          <w:sz w:val="18"/>
          <w:szCs w:val="18"/>
        </w:rPr>
        <w:t>Broad Money M2</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Included</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Included</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Not Included</w:t>
      </w:r>
    </w:p>
    <w:p w14:paraId="616EDA5E" w14:textId="762DFDB3"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Deposit</w:t>
      </w:r>
      <w:r>
        <w:rPr>
          <w:rFonts w:ascii="Arial" w:eastAsia="Times New Roman" w:hAnsi="Arial" w:cs="Arial"/>
          <w:color w:val="333333"/>
          <w:sz w:val="18"/>
          <w:szCs w:val="18"/>
        </w:rPr>
        <w:tab/>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Included</w:t>
      </w:r>
      <w:r>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ab/>
        <w:t>Included</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Not Included</w:t>
      </w:r>
    </w:p>
    <w:p w14:paraId="74BC2428" w14:textId="5D6AB2B6"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Credit</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Included</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proofErr w:type="spellStart"/>
      <w:r w:rsidRPr="001E2493">
        <w:rPr>
          <w:rFonts w:ascii="Arial" w:eastAsia="Times New Roman" w:hAnsi="Arial" w:cs="Arial"/>
          <w:color w:val="333333"/>
          <w:sz w:val="18"/>
          <w:szCs w:val="18"/>
        </w:rPr>
        <w:t>Included</w:t>
      </w:r>
      <w:proofErr w:type="spellEnd"/>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Not Included</w:t>
      </w:r>
    </w:p>
    <w:p w14:paraId="3F231D34" w14:textId="6156E587"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Interest Rate</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Included</w:t>
      </w:r>
      <w:r w:rsidRPr="001E2493">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sidRPr="001E2493">
        <w:rPr>
          <w:rFonts w:ascii="Arial" w:eastAsia="Times New Roman" w:hAnsi="Arial" w:cs="Arial"/>
          <w:color w:val="333333"/>
          <w:sz w:val="18"/>
          <w:szCs w:val="18"/>
        </w:rPr>
        <w:t>Not Included</w:t>
      </w:r>
      <w:r w:rsidRPr="001E2493">
        <w:rPr>
          <w:rFonts w:ascii="Arial" w:eastAsia="Times New Roman" w:hAnsi="Arial" w:cs="Arial"/>
          <w:color w:val="333333"/>
          <w:sz w:val="18"/>
          <w:szCs w:val="18"/>
        </w:rPr>
        <w:tab/>
        <w:t>Not Included</w:t>
      </w:r>
    </w:p>
    <w:p w14:paraId="641B0C5F" w14:textId="77777777" w:rsidR="001E2493" w:rsidRPr="001E2493" w:rsidRDefault="001E2493" w:rsidP="001E2493">
      <w:pPr>
        <w:shd w:val="clear" w:color="auto" w:fill="FFFFFF"/>
        <w:spacing w:after="0" w:line="240" w:lineRule="auto"/>
        <w:jc w:val="both"/>
        <w:textAlignment w:val="baseline"/>
        <w:rPr>
          <w:rFonts w:ascii="Arial" w:eastAsia="Times New Roman" w:hAnsi="Arial" w:cs="Arial"/>
          <w:color w:val="333333"/>
          <w:sz w:val="18"/>
          <w:szCs w:val="18"/>
        </w:rPr>
      </w:pPr>
      <w:r w:rsidRPr="001E2493">
        <w:rPr>
          <w:rFonts w:ascii="Arial" w:eastAsia="Times New Roman" w:hAnsi="Arial" w:cs="Arial"/>
          <w:color w:val="333333"/>
          <w:sz w:val="18"/>
          <w:szCs w:val="18"/>
        </w:rPr>
        <w:t> </w:t>
      </w:r>
    </w:p>
    <w:p w14:paraId="6F59BFB0" w14:textId="3C69ED35" w:rsidR="001E2493" w:rsidRDefault="001E2493"/>
    <w:p w14:paraId="72A11E5A" w14:textId="77777777" w:rsidR="002645E5" w:rsidRPr="002645E5" w:rsidRDefault="002645E5" w:rsidP="002645E5">
      <w:pPr>
        <w:spacing w:after="0" w:line="240" w:lineRule="auto"/>
        <w:textAlignment w:val="baseline"/>
        <w:rPr>
          <w:rFonts w:ascii="Arial" w:eastAsia="Times New Roman" w:hAnsi="Arial" w:cs="Arial"/>
          <w:b/>
          <w:bCs/>
          <w:color w:val="00539F"/>
          <w:sz w:val="20"/>
          <w:szCs w:val="20"/>
        </w:rPr>
      </w:pPr>
      <w:r w:rsidRPr="002645E5">
        <w:rPr>
          <w:rFonts w:ascii="Arial" w:eastAsia="Times New Roman" w:hAnsi="Arial" w:cs="Arial"/>
          <w:b/>
          <w:bCs/>
          <w:color w:val="00539F"/>
          <w:sz w:val="20"/>
          <w:szCs w:val="20"/>
        </w:rPr>
        <w:t>The Birth of a Central Bank</w:t>
      </w:r>
    </w:p>
    <w:p w14:paraId="2A166A04" w14:textId="77777777" w:rsidR="002645E5" w:rsidRPr="002645E5" w:rsidRDefault="002645E5" w:rsidP="002645E5">
      <w:pPr>
        <w:spacing w:after="150" w:line="240" w:lineRule="auto"/>
        <w:textAlignment w:val="baseline"/>
        <w:rPr>
          <w:rFonts w:ascii="Arial" w:eastAsia="Times New Roman" w:hAnsi="Arial" w:cs="Arial"/>
          <w:color w:val="666666"/>
          <w:sz w:val="17"/>
          <w:szCs w:val="17"/>
        </w:rPr>
      </w:pPr>
      <w:r w:rsidRPr="002645E5">
        <w:rPr>
          <w:rFonts w:ascii="Arial" w:eastAsia="Times New Roman" w:hAnsi="Arial" w:cs="Arial"/>
          <w:color w:val="666666"/>
          <w:sz w:val="17"/>
          <w:szCs w:val="17"/>
        </w:rPr>
        <w:t>The nationalization effort of DJB was followed up by transforming the bank of circulation into a central bank with the name of Bank Indonesia. On July 1, 1953, Bank Indonesia Act started to be in force, therefore confirming Bank Indonesia’s birth and Indonesia’s monetary and economic authority. The function of a central bank, which had been done rather inadequately before, could now be done by Bank Indonesia.</w:t>
      </w:r>
    </w:p>
    <w:p w14:paraId="4DBCCA53" w14:textId="77777777" w:rsidR="008A4780" w:rsidRPr="008A4780" w:rsidRDefault="008A4780" w:rsidP="008A4780">
      <w:pPr>
        <w:shd w:val="clear" w:color="auto" w:fill="FFFFFF"/>
        <w:spacing w:after="0" w:line="240" w:lineRule="auto"/>
        <w:jc w:val="center"/>
        <w:textAlignment w:val="baseline"/>
        <w:rPr>
          <w:rFonts w:ascii="Arial" w:eastAsia="Times New Roman" w:hAnsi="Arial" w:cs="Arial"/>
          <w:color w:val="666666"/>
          <w:sz w:val="17"/>
          <w:szCs w:val="17"/>
        </w:rPr>
      </w:pPr>
      <w:r w:rsidRPr="008A4780">
        <w:rPr>
          <w:rFonts w:ascii="Arial" w:eastAsia="Times New Roman" w:hAnsi="Arial" w:cs="Arial"/>
          <w:color w:val="666666"/>
          <w:sz w:val="17"/>
          <w:szCs w:val="17"/>
        </w:rPr>
        <w:t> </w:t>
      </w:r>
    </w:p>
    <w:p w14:paraId="46BDD51B" w14:textId="37444A2F" w:rsidR="008A4780" w:rsidRDefault="005311BC">
      <w:r>
        <w:rPr>
          <w:noProof/>
        </w:rPr>
        <w:drawing>
          <wp:inline distT="0" distB="0" distL="0" distR="0" wp14:anchorId="6BA2018A" wp14:editId="6F94B72E">
            <wp:extent cx="2616200" cy="174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0" cy="1741170"/>
                    </a:xfrm>
                    <a:prstGeom prst="rect">
                      <a:avLst/>
                    </a:prstGeom>
                    <a:noFill/>
                    <a:ln>
                      <a:noFill/>
                    </a:ln>
                  </pic:spPr>
                </pic:pic>
              </a:graphicData>
            </a:graphic>
          </wp:inline>
        </w:drawing>
      </w:r>
    </w:p>
    <w:sectPr w:rsidR="008A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93"/>
    <w:rsid w:val="0019644F"/>
    <w:rsid w:val="001E2493"/>
    <w:rsid w:val="00232515"/>
    <w:rsid w:val="002645E5"/>
    <w:rsid w:val="002C24D2"/>
    <w:rsid w:val="00477BBB"/>
    <w:rsid w:val="004D37E1"/>
    <w:rsid w:val="00515A6D"/>
    <w:rsid w:val="005311BC"/>
    <w:rsid w:val="006E7573"/>
    <w:rsid w:val="008A4780"/>
    <w:rsid w:val="00AA21F0"/>
    <w:rsid w:val="00D7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D578"/>
  <w15:chartTrackingRefBased/>
  <w15:docId w15:val="{649218E0-BFDE-422A-AF57-A1707213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85404">
      <w:bodyDiv w:val="1"/>
      <w:marLeft w:val="0"/>
      <w:marRight w:val="0"/>
      <w:marTop w:val="0"/>
      <w:marBottom w:val="0"/>
      <w:divBdr>
        <w:top w:val="none" w:sz="0" w:space="0" w:color="auto"/>
        <w:left w:val="none" w:sz="0" w:space="0" w:color="auto"/>
        <w:bottom w:val="none" w:sz="0" w:space="0" w:color="auto"/>
        <w:right w:val="none" w:sz="0" w:space="0" w:color="auto"/>
      </w:divBdr>
      <w:divsChild>
        <w:div w:id="1018239236">
          <w:marLeft w:val="342"/>
          <w:marRight w:val="0"/>
          <w:marTop w:val="0"/>
          <w:marBottom w:val="0"/>
          <w:divBdr>
            <w:top w:val="none" w:sz="0" w:space="0" w:color="auto"/>
            <w:left w:val="none" w:sz="0" w:space="0" w:color="auto"/>
            <w:bottom w:val="none" w:sz="0" w:space="0" w:color="auto"/>
            <w:right w:val="none" w:sz="0" w:space="0" w:color="auto"/>
          </w:divBdr>
        </w:div>
        <w:div w:id="900479171">
          <w:marLeft w:val="342"/>
          <w:marRight w:val="0"/>
          <w:marTop w:val="0"/>
          <w:marBottom w:val="0"/>
          <w:divBdr>
            <w:top w:val="none" w:sz="0" w:space="0" w:color="auto"/>
            <w:left w:val="none" w:sz="0" w:space="0" w:color="auto"/>
            <w:bottom w:val="none" w:sz="0" w:space="0" w:color="auto"/>
            <w:right w:val="none" w:sz="0" w:space="0" w:color="auto"/>
          </w:divBdr>
        </w:div>
        <w:div w:id="971907961">
          <w:marLeft w:val="342"/>
          <w:marRight w:val="0"/>
          <w:marTop w:val="0"/>
          <w:marBottom w:val="0"/>
          <w:divBdr>
            <w:top w:val="none" w:sz="0" w:space="0" w:color="auto"/>
            <w:left w:val="none" w:sz="0" w:space="0" w:color="auto"/>
            <w:bottom w:val="none" w:sz="0" w:space="0" w:color="auto"/>
            <w:right w:val="none" w:sz="0" w:space="0" w:color="auto"/>
          </w:divBdr>
        </w:div>
        <w:div w:id="2054229363">
          <w:marLeft w:val="342"/>
          <w:marRight w:val="0"/>
          <w:marTop w:val="0"/>
          <w:marBottom w:val="0"/>
          <w:divBdr>
            <w:top w:val="none" w:sz="0" w:space="0" w:color="auto"/>
            <w:left w:val="none" w:sz="0" w:space="0" w:color="auto"/>
            <w:bottom w:val="none" w:sz="0" w:space="0" w:color="auto"/>
            <w:right w:val="none" w:sz="0" w:space="0" w:color="auto"/>
          </w:divBdr>
        </w:div>
      </w:divsChild>
    </w:div>
    <w:div w:id="646739166">
      <w:bodyDiv w:val="1"/>
      <w:marLeft w:val="0"/>
      <w:marRight w:val="0"/>
      <w:marTop w:val="0"/>
      <w:marBottom w:val="0"/>
      <w:divBdr>
        <w:top w:val="none" w:sz="0" w:space="0" w:color="auto"/>
        <w:left w:val="none" w:sz="0" w:space="0" w:color="auto"/>
        <w:bottom w:val="none" w:sz="0" w:space="0" w:color="auto"/>
        <w:right w:val="none" w:sz="0" w:space="0" w:color="auto"/>
      </w:divBdr>
      <w:divsChild>
        <w:div w:id="648634683">
          <w:marLeft w:val="0"/>
          <w:marRight w:val="0"/>
          <w:marTop w:val="0"/>
          <w:marBottom w:val="0"/>
          <w:divBdr>
            <w:top w:val="none" w:sz="0" w:space="0" w:color="auto"/>
            <w:left w:val="none" w:sz="0" w:space="0" w:color="auto"/>
            <w:bottom w:val="none" w:sz="0" w:space="0" w:color="auto"/>
            <w:right w:val="none" w:sz="0" w:space="0" w:color="auto"/>
          </w:divBdr>
          <w:divsChild>
            <w:div w:id="507406715">
              <w:marLeft w:val="0"/>
              <w:marRight w:val="0"/>
              <w:marTop w:val="0"/>
              <w:marBottom w:val="0"/>
              <w:divBdr>
                <w:top w:val="none" w:sz="0" w:space="0" w:color="auto"/>
                <w:left w:val="none" w:sz="0" w:space="0" w:color="auto"/>
                <w:bottom w:val="none" w:sz="0" w:space="0" w:color="auto"/>
                <w:right w:val="none" w:sz="0" w:space="0" w:color="auto"/>
              </w:divBdr>
            </w:div>
            <w:div w:id="1297832256">
              <w:marLeft w:val="0"/>
              <w:marRight w:val="0"/>
              <w:marTop w:val="150"/>
              <w:marBottom w:val="150"/>
              <w:divBdr>
                <w:top w:val="none" w:sz="0" w:space="0" w:color="auto"/>
                <w:left w:val="none" w:sz="0" w:space="0" w:color="auto"/>
                <w:bottom w:val="none" w:sz="0" w:space="0" w:color="auto"/>
                <w:right w:val="none" w:sz="0" w:space="0" w:color="auto"/>
              </w:divBdr>
            </w:div>
            <w:div w:id="1221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856">
      <w:bodyDiv w:val="1"/>
      <w:marLeft w:val="0"/>
      <w:marRight w:val="0"/>
      <w:marTop w:val="0"/>
      <w:marBottom w:val="0"/>
      <w:divBdr>
        <w:top w:val="none" w:sz="0" w:space="0" w:color="auto"/>
        <w:left w:val="none" w:sz="0" w:space="0" w:color="auto"/>
        <w:bottom w:val="none" w:sz="0" w:space="0" w:color="auto"/>
        <w:right w:val="none" w:sz="0" w:space="0" w:color="auto"/>
      </w:divBdr>
    </w:div>
    <w:div w:id="1091514623">
      <w:bodyDiv w:val="1"/>
      <w:marLeft w:val="0"/>
      <w:marRight w:val="0"/>
      <w:marTop w:val="0"/>
      <w:marBottom w:val="0"/>
      <w:divBdr>
        <w:top w:val="none" w:sz="0" w:space="0" w:color="auto"/>
        <w:left w:val="none" w:sz="0" w:space="0" w:color="auto"/>
        <w:bottom w:val="none" w:sz="0" w:space="0" w:color="auto"/>
        <w:right w:val="none" w:sz="0" w:space="0" w:color="auto"/>
      </w:divBdr>
      <w:divsChild>
        <w:div w:id="1785727448">
          <w:marLeft w:val="0"/>
          <w:marRight w:val="0"/>
          <w:marTop w:val="150"/>
          <w:marBottom w:val="150"/>
          <w:divBdr>
            <w:top w:val="none" w:sz="0" w:space="0" w:color="auto"/>
            <w:left w:val="none" w:sz="0" w:space="0" w:color="auto"/>
            <w:bottom w:val="none" w:sz="0" w:space="0" w:color="auto"/>
            <w:right w:val="none" w:sz="0" w:space="0" w:color="auto"/>
          </w:divBdr>
        </w:div>
      </w:divsChild>
    </w:div>
    <w:div w:id="1560165743">
      <w:bodyDiv w:val="1"/>
      <w:marLeft w:val="0"/>
      <w:marRight w:val="0"/>
      <w:marTop w:val="0"/>
      <w:marBottom w:val="0"/>
      <w:divBdr>
        <w:top w:val="none" w:sz="0" w:space="0" w:color="auto"/>
        <w:left w:val="none" w:sz="0" w:space="0" w:color="auto"/>
        <w:bottom w:val="none" w:sz="0" w:space="0" w:color="auto"/>
        <w:right w:val="none" w:sz="0" w:space="0" w:color="auto"/>
      </w:divBdr>
      <w:divsChild>
        <w:div w:id="1172180127">
          <w:marLeft w:val="342"/>
          <w:marRight w:val="0"/>
          <w:marTop w:val="0"/>
          <w:marBottom w:val="0"/>
          <w:divBdr>
            <w:top w:val="none" w:sz="0" w:space="0" w:color="auto"/>
            <w:left w:val="none" w:sz="0" w:space="0" w:color="auto"/>
            <w:bottom w:val="none" w:sz="0" w:space="0" w:color="auto"/>
            <w:right w:val="none" w:sz="0" w:space="0" w:color="auto"/>
          </w:divBdr>
        </w:div>
        <w:div w:id="1173957807">
          <w:marLeft w:val="342"/>
          <w:marRight w:val="0"/>
          <w:marTop w:val="0"/>
          <w:marBottom w:val="0"/>
          <w:divBdr>
            <w:top w:val="none" w:sz="0" w:space="0" w:color="auto"/>
            <w:left w:val="none" w:sz="0" w:space="0" w:color="auto"/>
            <w:bottom w:val="none" w:sz="0" w:space="0" w:color="auto"/>
            <w:right w:val="none" w:sz="0" w:space="0" w:color="auto"/>
          </w:divBdr>
        </w:div>
        <w:div w:id="1322805047">
          <w:marLeft w:val="342"/>
          <w:marRight w:val="0"/>
          <w:marTop w:val="0"/>
          <w:marBottom w:val="0"/>
          <w:divBdr>
            <w:top w:val="none" w:sz="0" w:space="0" w:color="auto"/>
            <w:left w:val="none" w:sz="0" w:space="0" w:color="auto"/>
            <w:bottom w:val="none" w:sz="0" w:space="0" w:color="auto"/>
            <w:right w:val="none" w:sz="0" w:space="0" w:color="auto"/>
          </w:divBdr>
        </w:div>
        <w:div w:id="1366952379">
          <w:marLeft w:val="34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Props1.xml><?xml version="1.0" encoding="utf-8"?>
<ds:datastoreItem xmlns:ds="http://schemas.openxmlformats.org/officeDocument/2006/customXml" ds:itemID="{529F300A-EFEE-42B6-8A79-3DC8B3139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F8A7FC-9E67-48F1-AA4C-4B2B0AE5C18A}">
  <ds:schemaRefs>
    <ds:schemaRef ds:uri="http://schemas.microsoft.com/sharepoint/v3/contenttype/forms"/>
  </ds:schemaRefs>
</ds:datastoreItem>
</file>

<file path=customXml/itemProps3.xml><?xml version="1.0" encoding="utf-8"?>
<ds:datastoreItem xmlns:ds="http://schemas.openxmlformats.org/officeDocument/2006/customXml" ds:itemID="{5290F80D-F08B-48D6-A400-DC15D0D455EC}">
  <ds:schemaRefs>
    <ds:schemaRef ds:uri="http://schemas.microsoft.com/office/2006/metadata/properties"/>
    <ds:schemaRef ds:uri="http://schemas.microsoft.com/office/infopath/2007/PartnerControls"/>
    <ds:schemaRef ds:uri="634a1fba-a5ab-4265-81a5-a96165ff56d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Rachmawati</dc:creator>
  <cp:keywords/>
  <dc:description/>
  <cp:lastModifiedBy>Anisa Rachmawati</cp:lastModifiedBy>
  <cp:revision>11</cp:revision>
  <dcterms:created xsi:type="dcterms:W3CDTF">2020-05-14T12:29:00Z</dcterms:created>
  <dcterms:modified xsi:type="dcterms:W3CDTF">2020-05-14T12:57:00Z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0x0101005E3D43E26D2E51439F6E16E0907BD6AF</vt:lpwstr>
  </property>
</Properties>
</file>