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5u1dedh628d5" w:id="0"/>
      <w:bookmarkEnd w:id="0"/>
      <w:r w:rsidDel="00000000" w:rsidR="00000000" w:rsidRPr="00000000">
        <w:rPr>
          <w:rtl w:val="0"/>
        </w:rPr>
        <w:t xml:space="preserve">CRISP-DM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le04j7blojd" w:id="1"/>
      <w:bookmarkEnd w:id="1"/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 of study: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read “GUIA-EXTRACCIÓN-CORDALES-REV 2023-v2.pdf”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understanding: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Questions of interest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Exploratory analysis: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PCA (looking for determinant variables for perimplants disease)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More options: maximum, minimum, etc.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los tengamos, apuntar los métodos de evaluación que utilicemos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Graphics selection that help us answer our questions and goals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74wp518xu6qc" w:id="2"/>
      <w:bookmarkEnd w:id="2"/>
      <w:r w:rsidDel="00000000" w:rsidR="00000000" w:rsidRPr="00000000">
        <w:rPr>
          <w:rtl w:val="0"/>
        </w:rPr>
        <w:t xml:space="preserve">Graphic: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