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Relaciones que podrían tener impacto clínico, según Rui:</w:t>
      </w:r>
    </w:p>
    <w:p w:rsidR="00000000" w:rsidDel="00000000" w:rsidP="00000000" w:rsidRDefault="00000000" w:rsidRPr="00000000" w14:paraId="00000002">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ind w:left="9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Comparación entre las características de los pacientes operados en la unidad de Implantología Bucal (Cirugía de colocación de implantes) y los casos operados en la Unidad de Mantenimiento de Implantes (Cirugía periimplantaria). Esto podría ayudar a identificar los pacientes que tienen más riesgo de presentar complicaciones asociadas a los implantes dentales.</w:t>
      </w:r>
    </w:p>
    <w:p w:rsidR="00000000" w:rsidDel="00000000" w:rsidP="00000000" w:rsidRDefault="00000000" w:rsidRPr="00000000" w14:paraId="00000004">
      <w:pPr>
        <w:numPr>
          <w:ilvl w:val="0"/>
          <w:numId w:val="1"/>
        </w:numPr>
        <w:shd w:fill="ffffff" w:val="clear"/>
        <w:ind w:left="9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Factores asociados a un incremento del tiempo operatorio en los pacientes operados de Cirugía Dentoalveolar (sobretodo de extracciones de terceros molares). Esto tiene repercusiones a nivel de costes asociados al tratamiento y a la planificación del servicio (evitar retrasos).</w:t>
      </w:r>
    </w:p>
    <w:p w:rsidR="00000000" w:rsidDel="00000000" w:rsidP="00000000" w:rsidRDefault="00000000" w:rsidRPr="00000000" w14:paraId="00000005">
      <w:pPr>
        <w:numPr>
          <w:ilvl w:val="0"/>
          <w:numId w:val="1"/>
        </w:numPr>
        <w:shd w:fill="ffffff" w:val="clear"/>
        <w:ind w:left="940"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Comparación entre el numero (y tipo) de intervenciones quirúrgicas realizadas por cada uno de los alumnos. También se podría correlacionar el tiempo operatorio con el grado de experiencia del cirujano (R1, R2 y R3).</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pPr>
    <w:r w:rsidDel="00000000" w:rsidR="00000000" w:rsidRPr="00000000">
      <w:rPr>
        <w:rtl w:val="0"/>
      </w:rPr>
      <w:t xml:space="preserve">5/03/2024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