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17/05/24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Carla, Manuel, Evgeny, Yassmina y Rui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hace falta estratificar tanto, podemos hacerlo más genérico: con patología sistémica o sin patología sistémica.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Hay que probar el modelo sin el tipo de cirugía (porque eso es para la cirugía periimplantaria).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variables están bien, tienen sentido según Rui. Pero podemos poner hábitos tóxicos para el alcohol y tabaco en lugar de meterlo con las patologías.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tenemos que aplicarlo si no queremos. Hay una clasificación que se llama ASA o algo así, para las patologías. → ASA physical status classification system.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