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4D4A" w14:textId="77777777" w:rsidR="00270B25" w:rsidRDefault="00A01E8A">
      <w:pPr>
        <w:pStyle w:val="Heading1"/>
      </w:pPr>
      <w:bookmarkStart w:id="0" w:name="lenguaje---semana-3"/>
      <w:r>
        <w:t>Lenguaje - Semana 3</w:t>
      </w:r>
    </w:p>
    <w:p w14:paraId="47F0BE90" w14:textId="77777777" w:rsidR="00270B25" w:rsidRDefault="00A01E8A">
      <w:pPr>
        <w:numPr>
          <w:ilvl w:val="0"/>
          <w:numId w:val="3"/>
        </w:numPr>
      </w:pPr>
      <w:r>
        <w:rPr>
          <w:b/>
          <w:bCs/>
        </w:rPr>
        <w:t>Por</w:t>
      </w:r>
      <w:r>
        <w:t>: Cesar Abarca Rodriguez</w:t>
      </w:r>
    </w:p>
    <w:p w14:paraId="79CB7A5E" w14:textId="77777777" w:rsidR="00270B25" w:rsidRDefault="00A01E8A">
      <w:pPr>
        <w:numPr>
          <w:ilvl w:val="0"/>
          <w:numId w:val="3"/>
        </w:numPr>
      </w:pPr>
      <w:r>
        <w:rPr>
          <w:b/>
          <w:bCs/>
        </w:rPr>
        <w:t>Fecha</w:t>
      </w:r>
      <w:r>
        <w:t>: 27/05/2026</w:t>
      </w:r>
    </w:p>
    <w:p w14:paraId="0E22631C" w14:textId="77777777" w:rsidR="00270B25" w:rsidRDefault="00A01E8A">
      <w:pPr>
        <w:numPr>
          <w:ilvl w:val="0"/>
          <w:numId w:val="3"/>
        </w:numPr>
      </w:pPr>
      <w:r>
        <w:rPr>
          <w:b/>
          <w:bCs/>
        </w:rPr>
        <w:t>Curso</w:t>
      </w:r>
      <w:r>
        <w:t>: 2do BGU “B”</w:t>
      </w:r>
    </w:p>
    <w:p w14:paraId="5840DF7E" w14:textId="77777777" w:rsidR="00270B25" w:rsidRDefault="00A01E8A">
      <w:pPr>
        <w:pStyle w:val="Heading2"/>
      </w:pPr>
      <w:bookmarkStart w:id="1" w:name="X0d4fb4c5acd04fa42fad4256bd2787add500340"/>
      <w:r>
        <w:t>La señalética en la institución educativa</w:t>
      </w:r>
    </w:p>
    <w:p w14:paraId="4BCAD910" w14:textId="19F765B2" w:rsidR="00270B25" w:rsidRDefault="00A01E8A">
      <w:r w:rsidRPr="00621A92">
        <w:rPr>
          <w:highlight w:val="yellow"/>
        </w:rPr>
        <w:t>La señalética es</w:t>
      </w:r>
      <w:r>
        <w:t xml:space="preserve"> un sistema de comunicación visual que utiliza palabras, colores, flechas y símbolos para orientar a las personas dentro de un espacio. No consiste solo en pegar carteles, sino en organizar información clara para que estudiantes, docentes y visitantes puedan ubicarse con facilidad. A mi parecer, funciona como una guía silenciosa que bota la información necesaria sin depender siempre de otra persona. Costa explica que la señalética ayuda a orientar el comportamiento y los recorridos dentro de un lugar Costa </w:t>
      </w:r>
      <w:r>
        <w:fldChar w:fldCharType="begin"/>
      </w:r>
      <w:r w:rsidR="00347096">
        <w:instrText xml:space="preserve"> ADDIN ZOTERO_ITEM CSL_CITATION {"citationID":"00000001","properties":{"unsorted":false,"formattedCitation":"(1987)","plainCitation":"(1987)","noteIndex":0},"citationItems":[{"id":265,"uris":["http://zotero.org/users/19279946/items/BHBJWBLN"],"itemData":{"id":265,"type":"book","citation-key":"costa1987","collection-title":"Enciclopedia del diseño","language":"es","publisher":"Centro Internacional de Investigación y Aplicaciones de la Comunicación","publisher-place":"Barcelona, España","title":"Señalética","author":[{"family":"Costa","given":"Joan"}],"issued":{"date-parts":[["1987"]]}},"suppress-author":true,"prefix":""}],"schema":"https://github.com/citation-style-language/schema/raw/master/csl-citation.json"} </w:instrText>
      </w:r>
      <w:r>
        <w:fldChar w:fldCharType="separate"/>
      </w:r>
      <w:r w:rsidR="00347096" w:rsidRPr="00347096">
        <w:t>(1987)</w:t>
      </w:r>
      <w:r>
        <w:fldChar w:fldCharType="end"/>
      </w:r>
      <w:r>
        <w:t>.</w:t>
      </w:r>
    </w:p>
    <w:p w14:paraId="3FF6110E" w14:textId="7C613E67" w:rsidR="00270B25" w:rsidRDefault="00A01E8A">
      <w:r>
        <w:t xml:space="preserve">La señalética es </w:t>
      </w:r>
      <w:r w:rsidRPr="00621A92">
        <w:rPr>
          <w:highlight w:val="yellow"/>
        </w:rPr>
        <w:t>importante</w:t>
      </w:r>
      <w:r>
        <w:t xml:space="preserve"> porque facilita la movilidad, mejora el orden y contribuye a la seguridad. En una institución educativa permite encontrar aulas, baños, oficinas, laboratorios y salidas de emergencia. También ayuda a reconocer extintores, rutas de evacuación y zonas seguras. Según la norma ecuatoriana NTE INEN-ISO 3864-1:2013, las señales deben utilizar colores, símbolos y formas que indiquen prohibición, obligación, precaución, emergencia o seguridad </w:t>
      </w:r>
      <w:r>
        <w:fldChar w:fldCharType="begin"/>
      </w:r>
      <w:r w:rsidR="00347096">
        <w:instrText xml:space="preserve"> ADDIN ZOTERO_ITEM CSL_CITATION {"citationID":"00000002","properties":{"unsorted":false,"formattedCitation":"(Instituto Ecuatoriano de Normalizaci\\uc0\\u243{}n, 2013)","plainCitation":"(Instituto Ecuatoriano de Normalización, 2013)","noteIndex":0},"citationItems":[{"id":268,"uris":["http://zotero.org/users/19279946/items/SBTC2775"],"itemData":{"id":268,"type":"document","citation-key":"inen2013","language":"es","note":"number: NTE INEN-ISO 3864-1:2013","publisher":"Instituto Ecuatoriano de Normalización","publisher-place":"Quito, Ecuador","title":"NTE INEN-ISO 3864-1:2013: Símbolos gráficos, colores de seguridad y señales de seguridad. Parte 1: Principios de diseño para señales de seguridad e indicaciones de seguridad","author":[{"literal":"Instituto Ecuatoriano de Normalización"}],"issued":{"date-parts":[["2013"]]}},"prefix":""}],"schema":"https://github.com/citation-style-language/schema/raw/master/csl-citation.json"} </w:instrText>
      </w:r>
      <w:r>
        <w:fldChar w:fldCharType="separate"/>
      </w:r>
      <w:r w:rsidR="00347096" w:rsidRPr="00347096">
        <w:t>(Instituto Ecuatoriano de Normalización, 2013)</w:t>
      </w:r>
      <w:r>
        <w:fldChar w:fldCharType="end"/>
      </w:r>
      <w:r>
        <w:t>. Estas señales son super útiles, aunque no reemplazan la capacitación ni las normas de prevención.</w:t>
      </w:r>
    </w:p>
    <w:p w14:paraId="5DF9228C" w14:textId="49DFE4AD" w:rsidR="00270B25" w:rsidRDefault="00A01E8A">
      <w:r>
        <w:t xml:space="preserve">Entre los principales </w:t>
      </w:r>
      <w:r w:rsidRPr="00621A92">
        <w:rPr>
          <w:highlight w:val="yellow"/>
        </w:rPr>
        <w:t>tipos de señalética</w:t>
      </w:r>
      <w:r>
        <w:t xml:space="preserve"> están la informativa, que identifica lugares; la orientativa, que utiliza flechas y mapas; la preventiva, que advierte sobre peligros; la prohibitiva, que indica lo que no se debe hacer; la obligatoria, que señala acciones necesarias; y la de emergencia, que muestra salidas, extintores y puntos de encuentro. También existe la señalética accesible, que puede incluir braille, relieve y pictogramas para facilitar la orientación de todas las personas </w:t>
      </w:r>
      <w:r>
        <w:fldChar w:fldCharType="begin"/>
      </w:r>
      <w:r w:rsidR="00347096">
        <w:instrText xml:space="preserve"> ADDIN ZOTERO_ITEM CSL_CITATION {"citationID":"00000003","properties":{"unsorted":false,"formattedCitation":"(Galindo Flores et\\uc0\\u160{}al., 2025)","plainCitation":"(Galindo Flores et al., 2025)","noteIndex":0},"citationItems":[{"id":267,"uris":["http://zotero.org/users/19279946/items/E5KP9HQE"],"itemData":{"id":267,"type":"article-journal","citation-key":"galindo2025","container-title":"Zincografía","DOI":"10.32870/zcr.v9i18.219","ISSN":"2448-8437","issue":"18","language":"es","publisher":"Universidad de Guadalajara","publisher-place":"Guadalajara, México","title":"Análisis del lenguaje señalético y su relación con la orientación espacial de un Centro Universitario","URL":"http://www.scielo.org.mx/scielo.php?pid=S2448-84372025000200004&amp;script=sci_arttext","volume":"9","author":[{"family":"Galindo Flores","given":"Eduardo"},{"family":"Rodríguez Medina","given":"Daniel"},{"family":"González Castañeda","given":"Mónica"}],"issued":{"date-parts":[["2025"]]}},"prefix":""}],"schema":"https://github.com/citation-style-language/schema/raw/master/csl-citation.json"} </w:instrText>
      </w:r>
      <w:r>
        <w:fldChar w:fldCharType="separate"/>
      </w:r>
      <w:r w:rsidR="00347096" w:rsidRPr="00347096">
        <w:t>(Galindo Flores et al., 2025)</w:t>
      </w:r>
      <w:r>
        <w:fldChar w:fldCharType="end"/>
      </w:r>
      <w:r>
        <w:t>.</w:t>
      </w:r>
    </w:p>
    <w:p w14:paraId="39AF343E" w14:textId="77777777" w:rsidR="00270B25" w:rsidRDefault="00A01E8A">
      <w:r w:rsidRPr="00621A92">
        <w:rPr>
          <w:highlight w:val="yellow"/>
        </w:rPr>
        <w:lastRenderedPageBreak/>
        <w:t>Al observar un entorno educativo</w:t>
      </w:r>
      <w:r>
        <w:t>, normalmente se encuentran letreros en las aulas, baños, oficinas, pasillos y salidas. Sin embargo, algunos pueden estar desgastados, mal ubicados o tener letras muy pequeñas. La cosa que pasa es que no basta con tener muchos carteles; deben ser claros, visibles y estar organizados. Además, conviene pedir agrupar la información para no llenar las paredes de avisos que pueden confundir.</w:t>
      </w:r>
    </w:p>
    <w:p w14:paraId="11741122" w14:textId="77777777" w:rsidR="00270B25" w:rsidRDefault="00A01E8A">
      <w:r w:rsidRPr="00621A92">
        <w:rPr>
          <w:highlight w:val="yellow"/>
        </w:rPr>
        <w:t>A mi parecer, implementar señalética</w:t>
      </w:r>
      <w:r>
        <w:t xml:space="preserve"> en la institución es una buena decisión porque mejora la orientación, la seguridad y la convivencia. Para hacerlo bien, primero se deben identificar los lugares donde las personas suelen perderse y después colocar señales claras, visibles y coherentes. Los letreros no deben ser complicados; algunos símbolos son facilísimos de entender si están bien diseñados. En conclusión, una señalética adecuada hace que la institución sea más ordenada, accesible y segura.</w:t>
      </w:r>
    </w:p>
    <w:p w14:paraId="2CC1FA54" w14:textId="77777777" w:rsidR="00270B25" w:rsidRDefault="00A01E8A">
      <w:pPr>
        <w:pStyle w:val="Heading2"/>
      </w:pPr>
      <w:bookmarkStart w:id="2" w:name="referencias-bibliograficas"/>
      <w:bookmarkEnd w:id="1"/>
      <w:r>
        <w:t>Referencias Bibliograficas</w:t>
      </w:r>
    </w:p>
    <w:p w14:paraId="39C6CA02" w14:textId="77777777" w:rsidR="00347096" w:rsidRPr="00347096" w:rsidRDefault="00347096" w:rsidP="00347096">
      <w:pPr>
        <w:pStyle w:val="Bibliography"/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 w:rsidRPr="00347096">
        <w:t xml:space="preserve">Costa, J. (1987). </w:t>
      </w:r>
      <w:r w:rsidRPr="00347096">
        <w:rPr>
          <w:i/>
          <w:iCs/>
        </w:rPr>
        <w:t>Señalética</w:t>
      </w:r>
      <w:r w:rsidRPr="00347096">
        <w:t>. Centro Internacional de Investigación y Aplicaciones de la Comunicación.</w:t>
      </w:r>
    </w:p>
    <w:p w14:paraId="1A40862C" w14:textId="77777777" w:rsidR="00347096" w:rsidRPr="00347096" w:rsidRDefault="00347096" w:rsidP="00347096">
      <w:pPr>
        <w:pStyle w:val="Bibliography"/>
      </w:pPr>
      <w:r w:rsidRPr="00347096">
        <w:t xml:space="preserve">Galindo Flores, E., Rodríguez Medina, D., &amp; González Castañeda, M. (2025). Análisis del lenguaje señalético y su relación con la orientación espacial de un Centro Universitario. </w:t>
      </w:r>
      <w:r w:rsidRPr="00347096">
        <w:rPr>
          <w:i/>
          <w:iCs/>
        </w:rPr>
        <w:t>Zincografía</w:t>
      </w:r>
      <w:r w:rsidRPr="00347096">
        <w:t xml:space="preserve">, </w:t>
      </w:r>
      <w:r w:rsidRPr="00347096">
        <w:rPr>
          <w:i/>
          <w:iCs/>
        </w:rPr>
        <w:t>9</w:t>
      </w:r>
      <w:r w:rsidRPr="00347096">
        <w:t>(18). https://doi.org/10.32870/zcr.v9i18.219</w:t>
      </w:r>
    </w:p>
    <w:p w14:paraId="3867F87D" w14:textId="77777777" w:rsidR="00347096" w:rsidRPr="00347096" w:rsidRDefault="00347096" w:rsidP="00347096">
      <w:pPr>
        <w:pStyle w:val="Bibliography"/>
      </w:pPr>
      <w:r w:rsidRPr="00347096">
        <w:t xml:space="preserve">Instituto Ecuatoriano de Normalización. (2013). </w:t>
      </w:r>
      <w:r w:rsidRPr="00347096">
        <w:rPr>
          <w:i/>
          <w:iCs/>
        </w:rPr>
        <w:t>NTE INEN-ISO 3864-1:2013: Símbolos gráficos, colores de seguridad y señales de seguridad. Parte 1: Principios de diseño para señales de seguridad e indicaciones de seguridad</w:t>
      </w:r>
      <w:r w:rsidRPr="00347096">
        <w:t xml:space="preserve"> (NTE INEN-ISO 3864-1:2013). Instituto Ecuatoriano de Normalización.</w:t>
      </w:r>
    </w:p>
    <w:p w14:paraId="28AD2C1A" w14:textId="247B3845" w:rsidR="00270B25" w:rsidRDefault="00347096">
      <w:r>
        <w:fldChar w:fldCharType="end"/>
      </w:r>
      <w:bookmarkEnd w:id="0"/>
      <w:bookmarkEnd w:id="2"/>
    </w:p>
    <w:sectPr w:rsidR="00270B25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3A2F9" w14:textId="77777777" w:rsidR="00A66997" w:rsidRDefault="00A66997">
      <w:pPr>
        <w:spacing w:line="240" w:lineRule="auto"/>
      </w:pPr>
      <w:r>
        <w:separator/>
      </w:r>
    </w:p>
  </w:endnote>
  <w:endnote w:type="continuationSeparator" w:id="0">
    <w:p w14:paraId="28576F2D" w14:textId="77777777" w:rsidR="00A66997" w:rsidRDefault="00A669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49446" w14:textId="77777777" w:rsidR="00A66997" w:rsidRDefault="00A66997">
      <w:pPr>
        <w:spacing w:line="240" w:lineRule="auto"/>
      </w:pPr>
      <w:r>
        <w:separator/>
      </w:r>
    </w:p>
  </w:footnote>
  <w:footnote w:type="continuationSeparator" w:id="0">
    <w:p w14:paraId="3C203C14" w14:textId="77777777" w:rsidR="00A66997" w:rsidRDefault="00A669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5A055" w14:textId="77777777" w:rsidR="005255D3" w:rsidRPr="00F62BB2" w:rsidRDefault="00294A54">
    <w:pPr>
      <w:tabs>
        <w:tab w:val="right" w:pos="9026"/>
      </w:tabs>
      <w:spacing w:line="240" w:lineRule="auto"/>
    </w:pPr>
    <w:r w:rsidRPr="00F62BB2">
      <w:tab/>
    </w:r>
    <w:r w:rsidRPr="00F62BB2">
      <w:fldChar w:fldCharType="begin"/>
    </w:r>
    <w:r w:rsidRPr="00F62BB2">
      <w:instrText>PAGE</w:instrText>
    </w:r>
    <w:r w:rsidRPr="00F62BB2">
      <w:fldChar w:fldCharType="separate"/>
    </w:r>
    <w:r w:rsidR="005065F9" w:rsidRPr="00F62BB2">
      <w:t>1</w:t>
    </w:r>
    <w:r w:rsidRPr="00F62BB2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47C03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24877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4A33996"/>
    <w:multiLevelType w:val="hybridMultilevel"/>
    <w:tmpl w:val="EA7885BC"/>
    <w:lvl w:ilvl="0" w:tplc="F5B6F5A4">
      <w:start w:val="1"/>
      <w:numFmt w:val="bullet"/>
      <w:lvlText w:val="•"/>
      <w:lvlJc w:val="left"/>
      <w:pPr>
        <w:spacing w:line="480" w:lineRule="auto"/>
        <w:ind w:left="720" w:hanging="360"/>
      </w:pPr>
      <w:rPr>
        <w:rFonts w:ascii="Symbol" w:eastAsia="Symbol" w:hAnsi="Symbol" w:cs="Symbol"/>
      </w:rPr>
    </w:lvl>
    <w:lvl w:ilvl="1" w:tplc="49B05F46">
      <w:start w:val="1"/>
      <w:numFmt w:val="bullet"/>
      <w:lvlText w:val="◦"/>
      <w:lvlJc w:val="left"/>
      <w:pPr>
        <w:spacing w:line="480" w:lineRule="auto"/>
        <w:ind w:left="1080" w:hanging="360"/>
      </w:pPr>
      <w:rPr>
        <w:rFonts w:ascii="Courier New" w:eastAsia="Courier New" w:hAnsi="Courier New" w:cs="Courier New"/>
      </w:rPr>
    </w:lvl>
    <w:lvl w:ilvl="2" w:tplc="88CA2A02">
      <w:numFmt w:val="decimal"/>
      <w:lvlText w:val=""/>
      <w:lvlJc w:val="left"/>
    </w:lvl>
    <w:lvl w:ilvl="3" w:tplc="F66E9180">
      <w:numFmt w:val="decimal"/>
      <w:lvlText w:val=""/>
      <w:lvlJc w:val="left"/>
    </w:lvl>
    <w:lvl w:ilvl="4" w:tplc="49BE5F12">
      <w:numFmt w:val="decimal"/>
      <w:lvlText w:val=""/>
      <w:lvlJc w:val="left"/>
    </w:lvl>
    <w:lvl w:ilvl="5" w:tplc="9D1257A4">
      <w:numFmt w:val="decimal"/>
      <w:lvlText w:val=""/>
      <w:lvlJc w:val="left"/>
    </w:lvl>
    <w:lvl w:ilvl="6" w:tplc="9A10E95C">
      <w:numFmt w:val="decimal"/>
      <w:lvlText w:val=""/>
      <w:lvlJc w:val="left"/>
    </w:lvl>
    <w:lvl w:ilvl="7" w:tplc="0A886CBE">
      <w:numFmt w:val="decimal"/>
      <w:lvlText w:val=""/>
      <w:lvlJc w:val="left"/>
    </w:lvl>
    <w:lvl w:ilvl="8" w:tplc="55BC8776">
      <w:numFmt w:val="decimal"/>
      <w:lvlText w:val=""/>
      <w:lvlJc w:val="left"/>
    </w:lvl>
  </w:abstractNum>
  <w:abstractNum w:abstractNumId="3" w15:restartNumberingAfterBreak="0">
    <w:nsid w:val="5A151DDF"/>
    <w:multiLevelType w:val="hybridMultilevel"/>
    <w:tmpl w:val="36A83932"/>
    <w:lvl w:ilvl="0" w:tplc="8438DC3C">
      <w:start w:val="1"/>
      <w:numFmt w:val="decimal"/>
      <w:lvlText w:val="%1."/>
      <w:lvlJc w:val="left"/>
      <w:pPr>
        <w:spacing w:line="480" w:lineRule="auto"/>
        <w:ind w:left="720" w:hanging="360"/>
      </w:pPr>
    </w:lvl>
    <w:lvl w:ilvl="1" w:tplc="971EC55C">
      <w:numFmt w:val="decimal"/>
      <w:lvlText w:val=""/>
      <w:lvlJc w:val="left"/>
    </w:lvl>
    <w:lvl w:ilvl="2" w:tplc="D1B0FDB0">
      <w:numFmt w:val="decimal"/>
      <w:lvlText w:val=""/>
      <w:lvlJc w:val="left"/>
    </w:lvl>
    <w:lvl w:ilvl="3" w:tplc="14C6539A">
      <w:numFmt w:val="decimal"/>
      <w:lvlText w:val=""/>
      <w:lvlJc w:val="left"/>
    </w:lvl>
    <w:lvl w:ilvl="4" w:tplc="9A321600">
      <w:numFmt w:val="decimal"/>
      <w:lvlText w:val=""/>
      <w:lvlJc w:val="left"/>
    </w:lvl>
    <w:lvl w:ilvl="5" w:tplc="5352F1B8">
      <w:numFmt w:val="decimal"/>
      <w:lvlText w:val=""/>
      <w:lvlJc w:val="left"/>
    </w:lvl>
    <w:lvl w:ilvl="6" w:tplc="DA72CDFC">
      <w:numFmt w:val="decimal"/>
      <w:lvlText w:val=""/>
      <w:lvlJc w:val="left"/>
    </w:lvl>
    <w:lvl w:ilvl="7" w:tplc="E95E72F4">
      <w:numFmt w:val="decimal"/>
      <w:lvlText w:val=""/>
      <w:lvlJc w:val="left"/>
    </w:lvl>
    <w:lvl w:ilvl="8" w:tplc="54D2551C">
      <w:numFmt w:val="decimal"/>
      <w:lvlText w:val=""/>
      <w:lvlJc w:val="left"/>
    </w:lvl>
  </w:abstractNum>
  <w:abstractNum w:abstractNumId="4" w15:restartNumberingAfterBreak="0">
    <w:nsid w:val="723119D2"/>
    <w:multiLevelType w:val="hybridMultilevel"/>
    <w:tmpl w:val="DDD4912C"/>
    <w:lvl w:ilvl="0" w:tplc="C3CE2DEC">
      <w:start w:val="1"/>
      <w:numFmt w:val="bullet"/>
      <w:lvlText w:val="●"/>
      <w:lvlJc w:val="left"/>
      <w:pPr>
        <w:ind w:left="720" w:hanging="360"/>
      </w:pPr>
    </w:lvl>
    <w:lvl w:ilvl="1" w:tplc="3E76C2D0">
      <w:start w:val="1"/>
      <w:numFmt w:val="bullet"/>
      <w:lvlText w:val="○"/>
      <w:lvlJc w:val="left"/>
      <w:pPr>
        <w:ind w:left="1440" w:hanging="360"/>
      </w:pPr>
    </w:lvl>
    <w:lvl w:ilvl="2" w:tplc="5D223C96">
      <w:start w:val="1"/>
      <w:numFmt w:val="bullet"/>
      <w:lvlText w:val="■"/>
      <w:lvlJc w:val="left"/>
      <w:pPr>
        <w:ind w:left="2160" w:hanging="360"/>
      </w:pPr>
    </w:lvl>
    <w:lvl w:ilvl="3" w:tplc="A9525DC8">
      <w:start w:val="1"/>
      <w:numFmt w:val="bullet"/>
      <w:lvlText w:val="●"/>
      <w:lvlJc w:val="left"/>
      <w:pPr>
        <w:ind w:left="2880" w:hanging="360"/>
      </w:pPr>
    </w:lvl>
    <w:lvl w:ilvl="4" w:tplc="5D08647E">
      <w:start w:val="1"/>
      <w:numFmt w:val="bullet"/>
      <w:lvlText w:val="○"/>
      <w:lvlJc w:val="left"/>
      <w:pPr>
        <w:ind w:left="3600" w:hanging="360"/>
      </w:pPr>
    </w:lvl>
    <w:lvl w:ilvl="5" w:tplc="B0E82800">
      <w:start w:val="1"/>
      <w:numFmt w:val="bullet"/>
      <w:lvlText w:val="■"/>
      <w:lvlJc w:val="left"/>
      <w:pPr>
        <w:ind w:left="4320" w:hanging="360"/>
      </w:pPr>
    </w:lvl>
    <w:lvl w:ilvl="6" w:tplc="EAC07566">
      <w:start w:val="1"/>
      <w:numFmt w:val="bullet"/>
      <w:lvlText w:val="●"/>
      <w:lvlJc w:val="left"/>
      <w:pPr>
        <w:ind w:left="5040" w:hanging="360"/>
      </w:pPr>
    </w:lvl>
    <w:lvl w:ilvl="7" w:tplc="42285A9E">
      <w:start w:val="1"/>
      <w:numFmt w:val="bullet"/>
      <w:lvlText w:val="●"/>
      <w:lvlJc w:val="left"/>
      <w:pPr>
        <w:ind w:left="5760" w:hanging="360"/>
      </w:pPr>
    </w:lvl>
    <w:lvl w:ilvl="8" w:tplc="DBAE62D0">
      <w:start w:val="1"/>
      <w:numFmt w:val="bullet"/>
      <w:lvlText w:val="●"/>
      <w:lvlJc w:val="left"/>
      <w:pPr>
        <w:ind w:left="6480" w:hanging="360"/>
      </w:pPr>
    </w:lvl>
  </w:abstractNum>
  <w:num w:numId="1" w16cid:durableId="106584179">
    <w:abstractNumId w:val="4"/>
    <w:lvlOverride w:ilvl="0">
      <w:startOverride w:val="1"/>
    </w:lvlOverride>
  </w:num>
  <w:num w:numId="2" w16cid:durableId="313686886">
    <w:abstractNumId w:val="0"/>
  </w:num>
  <w:num w:numId="3" w16cid:durableId="2140220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5D3"/>
    <w:rsid w:val="000962A5"/>
    <w:rsid w:val="001E0048"/>
    <w:rsid w:val="00270B25"/>
    <w:rsid w:val="00294A54"/>
    <w:rsid w:val="00347096"/>
    <w:rsid w:val="004269A9"/>
    <w:rsid w:val="005065F9"/>
    <w:rsid w:val="005255D3"/>
    <w:rsid w:val="00621A92"/>
    <w:rsid w:val="00647813"/>
    <w:rsid w:val="006D7C70"/>
    <w:rsid w:val="009C6892"/>
    <w:rsid w:val="00A01E8A"/>
    <w:rsid w:val="00A66997"/>
    <w:rsid w:val="00B050C1"/>
    <w:rsid w:val="00CF6B73"/>
    <w:rsid w:val="00EC5280"/>
    <w:rsid w:val="00F34D32"/>
    <w:rsid w:val="00F62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1725E"/>
  <w15:docId w15:val="{1EC245A1-D732-4551-A3EB-2F7052282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001" w:eastAsia="en-001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720"/>
    </w:pPr>
    <w:rPr>
      <w:lang w:val="es-EC"/>
    </w:rPr>
  </w:style>
  <w:style w:type="paragraph" w:styleId="Heading1">
    <w:name w:val="heading 1"/>
    <w:basedOn w:val="Normal"/>
    <w:next w:val="Normal"/>
    <w:uiPriority w:val="9"/>
    <w:qFormat/>
    <w:pPr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unhideWhenUsed/>
    <w:qFormat/>
    <w:pPr>
      <w:ind w:firstLine="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ind w:firstLine="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unhideWhenUsed/>
    <w:qFormat/>
    <w:pPr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pPr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APABody">
    <w:name w:val="APA Body"/>
    <w:basedOn w:val="Normal"/>
    <w:qFormat/>
  </w:style>
  <w:style w:type="paragraph" w:customStyle="1" w:styleId="APAAbstract">
    <w:name w:val="APA Abstract"/>
    <w:basedOn w:val="Normal"/>
    <w:qFormat/>
    <w:pPr>
      <w:ind w:firstLine="0"/>
    </w:pPr>
  </w:style>
  <w:style w:type="paragraph" w:customStyle="1" w:styleId="APABlockQuote">
    <w:name w:val="APA Block Quote"/>
    <w:basedOn w:val="Normal"/>
    <w:next w:val="APABody"/>
    <w:qFormat/>
    <w:pPr>
      <w:ind w:left="720" w:firstLine="0"/>
    </w:pPr>
  </w:style>
  <w:style w:type="paragraph" w:customStyle="1" w:styleId="APAReferenceEntry">
    <w:name w:val="APA Reference Entry"/>
    <w:basedOn w:val="Normal"/>
    <w:qFormat/>
    <w:pPr>
      <w:ind w:left="720" w:hanging="720"/>
    </w:pPr>
  </w:style>
  <w:style w:type="paragraph" w:customStyle="1" w:styleId="APATableTitle">
    <w:name w:val="APA Table Title"/>
    <w:basedOn w:val="Normal"/>
    <w:next w:val="Normal"/>
    <w:qFormat/>
    <w:pPr>
      <w:spacing w:line="240" w:lineRule="auto"/>
      <w:ind w:firstLine="0"/>
    </w:pPr>
    <w:rPr>
      <w:i/>
      <w:iCs/>
    </w:rPr>
  </w:style>
  <w:style w:type="paragraph" w:customStyle="1" w:styleId="APATableNumber">
    <w:name w:val="APA Table Number"/>
    <w:basedOn w:val="Normal"/>
    <w:next w:val="APATableTitle"/>
    <w:qFormat/>
    <w:pPr>
      <w:spacing w:before="240" w:line="240" w:lineRule="auto"/>
      <w:ind w:firstLine="0"/>
    </w:pPr>
    <w:rPr>
      <w:b/>
      <w:bCs/>
    </w:rPr>
  </w:style>
  <w:style w:type="paragraph" w:customStyle="1" w:styleId="APATableNote">
    <w:name w:val="APA Table Note"/>
    <w:basedOn w:val="Normal"/>
    <w:next w:val="Normal"/>
    <w:pPr>
      <w:spacing w:line="240" w:lineRule="auto"/>
      <w:ind w:firstLine="0"/>
    </w:pPr>
  </w:style>
  <w:style w:type="paragraph" w:customStyle="1" w:styleId="APAFigureNumber">
    <w:name w:val="APA Figure Number"/>
    <w:basedOn w:val="Normal"/>
    <w:next w:val="APAFigureTitle"/>
    <w:pPr>
      <w:spacing w:before="240" w:line="240" w:lineRule="auto"/>
      <w:ind w:firstLine="0"/>
    </w:pPr>
    <w:rPr>
      <w:b/>
      <w:bCs/>
    </w:rPr>
  </w:style>
  <w:style w:type="paragraph" w:customStyle="1" w:styleId="APAFigureTitle">
    <w:name w:val="APA Figure Title"/>
    <w:basedOn w:val="Normal"/>
    <w:next w:val="Normal"/>
    <w:pPr>
      <w:spacing w:line="240" w:lineRule="auto"/>
      <w:ind w:firstLine="0"/>
    </w:pPr>
    <w:rPr>
      <w:i/>
      <w:iCs/>
    </w:rPr>
  </w:style>
  <w:style w:type="paragraph" w:customStyle="1" w:styleId="APAFigureNote">
    <w:name w:val="APA Figure Note"/>
    <w:basedOn w:val="Normal"/>
    <w:next w:val="Normal"/>
    <w:pPr>
      <w:spacing w:line="240" w:lineRule="auto"/>
      <w:ind w:firstLine="0"/>
    </w:pPr>
  </w:style>
  <w:style w:type="paragraph" w:customStyle="1" w:styleId="APAFootnote">
    <w:name w:val="APA Footnote"/>
    <w:basedOn w:val="Normal"/>
    <w:pPr>
      <w:spacing w:line="240" w:lineRule="auto"/>
      <w:ind w:firstLine="360"/>
    </w:pPr>
  </w:style>
  <w:style w:type="paragraph" w:customStyle="1" w:styleId="APACodeBody">
    <w:name w:val="APA Code Body"/>
    <w:basedOn w:val="Normal"/>
    <w:qFormat/>
    <w:pPr>
      <w:shd w:val="clear" w:color="auto" w:fill="F2F2F2"/>
      <w:spacing w:before="60" w:after="60" w:line="240" w:lineRule="auto"/>
      <w:ind w:left="720" w:firstLine="0"/>
    </w:pPr>
    <w:rPr>
      <w:rFonts w:ascii="Courier New" w:eastAsia="Courier New" w:hAnsi="Courier New" w:cs="Courier New"/>
      <w:sz w:val="20"/>
      <w:szCs w:val="20"/>
    </w:rPr>
  </w:style>
  <w:style w:type="paragraph" w:customStyle="1" w:styleId="APACoverTitle">
    <w:name w:val="APA Cover Title"/>
    <w:basedOn w:val="Normal"/>
    <w:next w:val="Normal"/>
    <w:qFormat/>
    <w:pPr>
      <w:ind w:firstLine="0"/>
      <w:jc w:val="center"/>
    </w:pPr>
  </w:style>
  <w:style w:type="paragraph" w:customStyle="1" w:styleId="APASectionLabel">
    <w:name w:val="APA Section Label"/>
    <w:basedOn w:val="Normal"/>
    <w:next w:val="APABody"/>
    <w:qFormat/>
    <w:pPr>
      <w:ind w:firstLine="0"/>
      <w:jc w:val="center"/>
    </w:pPr>
    <w:rPr>
      <w:b/>
      <w:bCs/>
    </w:rPr>
  </w:style>
  <w:style w:type="paragraph" w:customStyle="1" w:styleId="APAKeywords">
    <w:name w:val="APA Keywords"/>
    <w:basedOn w:val="Normal"/>
    <w:next w:val="APAAbstract"/>
    <w:pPr>
      <w:ind w:firstLine="0"/>
    </w:pPr>
  </w:style>
  <w:style w:type="table" w:customStyle="1" w:styleId="APATable7">
    <w:name w:val="APA Table 7"/>
    <w:basedOn w:val="TableNormal"/>
    <w:uiPriority w:val="1"/>
    <w:qFormat/>
    <w:rsid w:val="00F34D32"/>
    <w:pPr>
      <w:spacing w:line="240" w:lineRule="auto"/>
    </w:pPr>
    <w:rPr>
      <w:lang w:eastAsia="en-US"/>
    </w:rPr>
    <w:tblPr>
      <w:tblBorders>
        <w:top w:val="single" w:sz="12" w:space="0" w:color="000000"/>
        <w:bottom w:val="single" w:sz="12" w:space="0" w:color="000000"/>
      </w:tblBorders>
      <w:tblCellMar>
        <w:top w:w="60" w:type="dxa"/>
        <w:left w:w="60" w:type="dxa"/>
        <w:bottom w:w="60" w:type="dxa"/>
        <w:right w:w="60" w:type="dxa"/>
      </w:tblCellMar>
    </w:tblPr>
    <w:tblStylePr w:type="firstRow">
      <w:pPr>
        <w:spacing w:before="0" w:after="0" w:line="240" w:lineRule="auto"/>
        <w:jc w:val="left"/>
      </w:pPr>
      <w:rPr>
        <w:b/>
        <w:bCs/>
      </w:rPr>
      <w:tblPr/>
      <w:tcPr>
        <w:tcBorders>
          <w:top w:val="single" w:sz="12" w:space="0" w:color="000000"/>
          <w:left w:val="none" w:sz="0" w:space="0" w:color="auto"/>
          <w:bottom w:val="single" w:sz="6" w:space="0" w:color="000000"/>
          <w:right w:val="none" w:sz="0" w:space="0" w:color="auto"/>
        </w:tcBorders>
      </w:tcPr>
    </w:tblStylePr>
    <w:tblStylePr w:type="lastRow">
      <w:tblPr/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</w:tcBorders>
      </w:tcPr>
    </w:tblStylePr>
    <w:tblStylePr w:type="band1Horz"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cBorders>
      </w:tcPr>
    </w:tblStylePr>
    <w:tblStylePr w:type="band2Horz"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5065F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Bibliography">
    <w:name w:val="Bibliography"/>
    <w:basedOn w:val="Normal"/>
    <w:next w:val="Normal"/>
    <w:uiPriority w:val="37"/>
    <w:unhideWhenUsed/>
    <w:rsid w:val="00347096"/>
    <w:pPr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925</Words>
  <Characters>5276</Characters>
  <Application>Microsoft Office Word</Application>
  <DocSecurity>0</DocSecurity>
  <Lines>43</Lines>
  <Paragraphs>12</Paragraphs>
  <ScaleCrop>false</ScaleCrop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MARCO ABARCA RODRÍGUEZ</cp:lastModifiedBy>
  <cp:revision>3</cp:revision>
  <dcterms:created xsi:type="dcterms:W3CDTF">2026-09-27T22:07:00Z</dcterms:created>
  <dcterms:modified xsi:type="dcterms:W3CDTF">2026-09-27T22:09:00Z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">
    <vt:lpwstr/>
  </property>
  <property fmtid="{D5CDD505-2E9C-101B-9397-08002B2CF9AE}" pid="3" name="zotero_author_in_text">
    <vt:lpwstr>True</vt:lpwstr>
  </property>
  <property fmtid="{D5CDD505-2E9C-101B-9397-08002B2CF9AE}" pid="4" name="zotero_client">
    <vt:lpwstr>zotero</vt:lpwstr>
  </property>
  <property fmtid="{D5CDD505-2E9C-101B-9397-08002B2CF9AE}" pid="5" name="zotero_csl_style">
    <vt:lpwstr>apa</vt:lpwstr>
  </property>
  <property fmtid="{D5CDD505-2E9C-101B-9397-08002B2CF9AE}" pid="6" name="zotero_scannable_cite">
    <vt:lpwstr>False</vt:lpwstr>
  </property>
  <property fmtid="{D5CDD505-2E9C-101B-9397-08002B2CF9AE}" pid="7" name="zotero_sorted">
    <vt:lpwstr>True</vt:lpwstr>
  </property>
  <property fmtid="{D5CDD505-2E9C-101B-9397-08002B2CF9AE}" pid="8" name="ZOTERO_PREF_1">
    <vt:lpwstr>&lt;data data-version="3" zotero-version="9.0.6"&gt;&lt;session id="GFCDDZuA"/&gt;&lt;style id="http://www.zotero.org/styles/apa" locale="es-MX" hasBibliography="1" bibliographyStyleHasBeenSet="1"/&gt;&lt;prefs&gt;&lt;pref name="fieldType" value="Field"/&gt;&lt;pref name="automaticJourna</vt:lpwstr>
  </property>
  <property fmtid="{D5CDD505-2E9C-101B-9397-08002B2CF9AE}" pid="9" name="ZOTERO_PREF_2">
    <vt:lpwstr>lAbbreviations" value="true"/&gt;&lt;/prefs&gt;&lt;/data&gt;</vt:lpwstr>
  </property>
</Properties>
</file>