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85C9F" w14:textId="258502E9" w:rsidR="00713A37" w:rsidRDefault="00B80C5D">
      <w:pPr>
        <w:pStyle w:val="Heading1"/>
      </w:pPr>
      <w:bookmarkStart w:id="0" w:name="lenguaje---tarea"/>
      <w:r>
        <w:t xml:space="preserve">Lenguaje </w:t>
      </w:r>
      <w:r w:rsidR="00C74466">
        <w:t>–</w:t>
      </w:r>
      <w:r>
        <w:t xml:space="preserve"> </w:t>
      </w:r>
      <w:r w:rsidR="00C74466">
        <w:t>Semana 3</w:t>
      </w:r>
    </w:p>
    <w:p w14:paraId="13B63314" w14:textId="77777777" w:rsidR="00713A37" w:rsidRDefault="00B80C5D">
      <w:pPr>
        <w:numPr>
          <w:ilvl w:val="0"/>
          <w:numId w:val="3"/>
        </w:numPr>
      </w:pPr>
      <w:r>
        <w:rPr>
          <w:b/>
          <w:bCs/>
        </w:rPr>
        <w:t>Por</w:t>
      </w:r>
      <w:r>
        <w:t>: Cesar Abarca Rodriguez</w:t>
      </w:r>
    </w:p>
    <w:p w14:paraId="4FD24EA5" w14:textId="77777777" w:rsidR="00713A37" w:rsidRDefault="00B80C5D">
      <w:pPr>
        <w:numPr>
          <w:ilvl w:val="0"/>
          <w:numId w:val="3"/>
        </w:numPr>
      </w:pPr>
      <w:r>
        <w:rPr>
          <w:b/>
          <w:bCs/>
        </w:rPr>
        <w:t>Fecha</w:t>
      </w:r>
      <w:r>
        <w:t>: 27/05/2026</w:t>
      </w:r>
    </w:p>
    <w:p w14:paraId="521FFB9D" w14:textId="77777777" w:rsidR="00713A37" w:rsidRDefault="00B80C5D">
      <w:pPr>
        <w:numPr>
          <w:ilvl w:val="0"/>
          <w:numId w:val="3"/>
        </w:numPr>
      </w:pPr>
      <w:r>
        <w:rPr>
          <w:b/>
          <w:bCs/>
        </w:rPr>
        <w:t>Curso</w:t>
      </w:r>
      <w:r>
        <w:t>: 2do BGU “B”</w:t>
      </w:r>
    </w:p>
    <w:p w14:paraId="3004908D" w14:textId="77777777" w:rsidR="00713A37" w:rsidRDefault="00B80C5D">
      <w:pPr>
        <w:pStyle w:val="Heading2"/>
      </w:pPr>
      <w:bookmarkStart w:id="1" w:name="X104f62bb7f4f99b5afabbac4299024ed8823eb0"/>
      <w:r>
        <w:t>La señalética y su importancia en el entorno educativo</w:t>
      </w:r>
    </w:p>
    <w:p w14:paraId="3A2A34E2" w14:textId="77777777" w:rsidR="00713A37" w:rsidRDefault="00B80C5D">
      <w:pPr>
        <w:pStyle w:val="Heading3"/>
      </w:pPr>
      <w:bookmarkStart w:id="2" w:name="qué-es-una-señalética"/>
      <w:r>
        <w:t>¿Qué es una señalética?</w:t>
      </w:r>
    </w:p>
    <w:p w14:paraId="003B9CC5" w14:textId="77777777" w:rsidR="00713A37" w:rsidRDefault="00B80C5D">
      <w:r>
        <w:t>La señalética es un sistema de comunicación visual que ayuda a las personas a orientarse, ubicarse y tomar decisiones dentro de un espacio determinado. No se trata solamente de colocar carteles en las paredes, sino de organizar signos, colores, palabras, flechas y pictogramas para que un lugar sea más fácil de comprender. A mi parecer, la señalética funciona como una especie de guía silenciosa, porque bota la información necesaria sin que siempre tenga que intervenir una persona para explicar dónde queda ca</w:t>
      </w:r>
      <w:r>
        <w:t>da sitio.</w:t>
      </w:r>
    </w:p>
    <w:p w14:paraId="09F9DCCE" w14:textId="12309E5B" w:rsidR="00713A37" w:rsidRDefault="00B80C5D">
      <w:r>
        <w:t xml:space="preserve">Costa define la señalética como una disciplina relacionada con la comunicación visual y con las relaciones entre los signos de orientación y el comportamiento de las personas Costa </w:t>
      </w:r>
      <w:r>
        <w:fldChar w:fldCharType="begin"/>
      </w:r>
      <w:r w:rsidR="00CC335A">
        <w:instrText xml:space="preserve"> ADDIN ZOTERO_ITEM CSL_CITATION {"citationID":"00000001","properties":{"unsorted":false,"formattedCitation":"(1987)","plainCitation":"(1987)","noteIndex":0},"citationItems":[{"id":265,"uris":["http://zotero.org/users/19279946/items/BHBJWBLN"],"itemData":{"id":265,"type":"book","citation-key":"costa1987","collection-title":"Enciclopedia del diseño","language":"es","publisher":"Centro Internacional de Investigación y Aplicaciones de la Comunicación","publisher-place":"Barcelona, España","title":"Señalética","author":[{"family":"Costa","given":"Joan"}],"issued":{"date-parts":[["1987"]]}},"suppress-author":true,"prefix":""}],"schema":"https://github.com/citation-style-language/schema/raw/master/csl-citation.json"} </w:instrText>
      </w:r>
      <w:r>
        <w:fldChar w:fldCharType="separate"/>
      </w:r>
      <w:r w:rsidR="00CC335A" w:rsidRPr="00CC335A">
        <w:t>(1987)</w:t>
      </w:r>
      <w:r>
        <w:fldChar w:fldCharType="end"/>
      </w:r>
      <w:r>
        <w:t xml:space="preserve">. En este sentido, una señalética adecuada debe considerar el espacio, las características de sus usuarios y la actividad que se desarrolla en el lugar. Galindo Flores, Rodríguez Medina y González Castañeda explican que la señalética también se relaciona con la orientación espacial, la movilidad y la toma de decisiones dentro de los entornos educativos </w:t>
      </w:r>
      <w:r>
        <w:fldChar w:fldCharType="begin"/>
      </w:r>
      <w:r w:rsidR="00CC335A">
        <w:instrText xml:space="preserve"> ADDIN ZOTERO_ITEM CSL_CITATION {"citationID":"00000002","properties":{"unsorted":false,"formattedCitation":"(Galindo Flores et\\uc0\\u160{}al., 2025)","plainCitation":"(Galindo Flores et al., 2025)","noteIndex":0},"citationItems":[{"id":267,"uris":["http://zotero.org/users/19279946/items/E5KP9HQE"],"itemData":{"id":267,"type":"article-journal","citation-key":"galindo2025","container-title":"Zincografía","DOI":"10.32870/zcr.v9i18.219","ISSN":"2448-8437","issue":"18","language":"es","publisher":"Universidad de Guadalajara","publisher-place":"Guadalajara, México","title":"Análisis del lenguaje señalético y su relación con la orientación espacial de un Centro Universitario","URL":"http://www.scielo.org.mx/scielo.php?pid=S2448-84372025000200004&amp;script=sci_arttext","volume":"9","author":[{"family":"Galindo Flores","given":"Eduardo"},{"family":"Rodríguez Medina","given":"Daniel"},{"family":"González Castañeda","given":"Mónica"}],"issued":{"date-parts":[["2025"]]}},"prefix":""}],"schema":"https://github.com/citation-style-language/schema/raw/master/csl-citation.json"} </w:instrText>
      </w:r>
      <w:r>
        <w:fldChar w:fldCharType="separate"/>
      </w:r>
      <w:r w:rsidR="00CC335A" w:rsidRPr="00CC335A">
        <w:t>(Galindo Flores et al., 2025)</w:t>
      </w:r>
      <w:r>
        <w:fldChar w:fldCharType="end"/>
      </w:r>
      <w:r>
        <w:t>. Por eso, no basta con poner un rótulo que diga “biblioteca”; este debe estar ubicado en un sitio visible, tener un tamaño apropiado y utilizar palabras o símbolos que puedan entenderse con facilidad.</w:t>
      </w:r>
    </w:p>
    <w:p w14:paraId="519876E5" w14:textId="77777777" w:rsidR="00713A37" w:rsidRDefault="00B80C5D">
      <w:r>
        <w:t xml:space="preserve">La cosa que pasa es que muchas veces se confunde la señalética con cualquier aviso pegado en una pared. Sin embargo, un anuncio improvisado puede informar algo puntual, mientras que un sistema señalético mantiene una organización visual constante. Por ejemplo, </w:t>
      </w:r>
      <w:r>
        <w:lastRenderedPageBreak/>
        <w:t>si todas las aulas tienen números visibles, las áreas administrativas usan un color específico y las rutas de evacuación están señalizadas con símbolos reconocibles, el espacio se vuelve más comprensible para estudiantes, docentes y visitantes.</w:t>
      </w:r>
    </w:p>
    <w:p w14:paraId="61160FEA" w14:textId="77777777" w:rsidR="00713A37" w:rsidRDefault="00B80C5D">
      <w:pPr>
        <w:pStyle w:val="Heading3"/>
      </w:pPr>
      <w:bookmarkStart w:id="3" w:name="la-importancia-de-la-señalética"/>
      <w:bookmarkEnd w:id="2"/>
      <w:r>
        <w:t>La importancia de la señalética</w:t>
      </w:r>
    </w:p>
    <w:p w14:paraId="266D61AC" w14:textId="77777777" w:rsidR="00713A37" w:rsidRDefault="00B80C5D">
      <w:r>
        <w:t>La señalética es importante porque facilita la orientación y disminuye el tiempo que una persona necesita para encontrar un lugar. En una institución educativa esto resulta super útil, especialmente cuando llegan estudiantes nuevos, padres de familia o personas que visitan el plantel por primera vez. Una señal clara puede evitar que alguien se pierda, llegue tarde a una actividad o tenga que preguntar varias veces dónde queda un laboratorio, una oficina o una salida.</w:t>
      </w:r>
    </w:p>
    <w:p w14:paraId="4D48B8E8" w14:textId="1E5EAFCD" w:rsidR="00713A37" w:rsidRDefault="00B80C5D">
      <w:r>
        <w:t xml:space="preserve">También cumple una función relacionada con la seguridad. Las señales de evacuación, ubicación de extintores, zonas seguras, salidas de emergencia y prohibiciones permiten actuar con mayor rapidez ante una situación de riesgo. La norma NTE INEN-ISO 3864-1:2013 establece principios para el uso de colores, figuras geométricas y señales de seguridad en el Ecuador. Esta norma organiza las señales en categorías como prohibición, acción obligatoria, precaución, condición segura y equipos contra incendios </w:t>
      </w:r>
      <w:r>
        <w:fldChar w:fldCharType="begin"/>
      </w:r>
      <w:r w:rsidR="00CC335A">
        <w:instrText xml:space="preserve"> ADDIN ZOTERO_ITEM CSL_CITATION {"citationID":"00000003","properties":{"unsorted":false,"formattedCitation":"(Instituto Ecuatoriano de Normalizaci\\uc0\\u243{}n, 2013)","plainCitation":"(Instituto Ecuatoriano de Normalización, 2013)","noteIndex":0},"citationItems":[{"id":268,"uris":["http://zotero.org/users/19279946/items/SBTC2775"],"itemData":{"id":268,"type":"document","citation-key":"inen2013","language":"es","note":"number: NTE INEN-ISO 3864-1:2013","publisher":"Instituto Ecuatoriano de Normalización","publisher-place":"Quito, Ecuador","title":"NTE INEN-ISO 3864-1:2013: Símbolos gráficos, colores de seguridad y señales de seguridad. Parte 1: Principios de diseño para señales de seguridad e indicaciones de seguridad","author":[{"literal":"Instituto Ecuatoriano de Normalización"}],"issued":{"date-parts":[["2013"]]}},"prefix":""}],"schema":"https://github.com/citation-style-language/schema/raw/master/csl-citation.json"} </w:instrText>
      </w:r>
      <w:r>
        <w:fldChar w:fldCharType="separate"/>
      </w:r>
      <w:r w:rsidR="00CC335A" w:rsidRPr="00CC335A">
        <w:t>(Instituto Ecuatoriano de Normalización, 2013)</w:t>
      </w:r>
      <w:r>
        <w:fldChar w:fldCharType="end"/>
      </w:r>
      <w:r>
        <w:t>. De todos modos, la propia norma aclara que las señales no reemplazan la capacitación, las instrucciones ni las medidas de prevención. Es decir, no sirve de mucho tener un cartel de evacuación si nadie sabe qué hacer cuando ocurre una emergencia.</w:t>
      </w:r>
    </w:p>
    <w:p w14:paraId="79EA89AC" w14:textId="6F7E571D" w:rsidR="00713A37" w:rsidRDefault="00B80C5D">
      <w:r>
        <w:t xml:space="preserve">Además, la señalética puede fortalecer la inclusión. Los letreros deberían ser legibles, tener buen contraste entre el fondo y el texto e incorporar, cuando sea necesario, elementos táctiles o braille. También es importante ubicarlos a una altura que pueda ser observada por personas con diferentes condiciones físicas. Galindo Flores et al. encontraron que, en un centro universitario, la falta de uniformidad y de adaptación de las señales al entorno puede </w:t>
      </w:r>
      <w:r>
        <w:lastRenderedPageBreak/>
        <w:t xml:space="preserve">dificultar la movilidad y producir estrés en los usuarios </w:t>
      </w:r>
      <w:r>
        <w:fldChar w:fldCharType="begin"/>
      </w:r>
      <w:r w:rsidR="00CC335A">
        <w:instrText xml:space="preserve"> ADDIN ZOTERO_ITEM CSL_CITATION {"citationID":"00000004","properties":{"unsorted":false,"formattedCitation":"(Galindo Flores et\\uc0\\u160{}al., 2025)","plainCitation":"(Galindo Flores et al., 2025)","noteIndex":0},"citationItems":[{"id":267,"uris":["http://zotero.org/users/19279946/items/E5KP9HQE"],"itemData":{"id":267,"type":"article-journal","citation-key":"galindo2025","container-title":"Zincografía","DOI":"10.32870/zcr.v9i18.219","ISSN":"2448-8437","issue":"18","language":"es","publisher":"Universidad de Guadalajara","publisher-place":"Guadalajara, México","title":"Análisis del lenguaje señalético y su relación con la orientación espacial de un Centro Universitario","URL":"http://www.scielo.org.mx/scielo.php?pid=S2448-84372025000200004&amp;script=sci_arttext","volume":"9","author":[{"family":"Galindo Flores","given":"Eduardo"},{"family":"Rodríguez Medina","given":"Daniel"},{"family":"González Castañeda","given":"Mónica"}],"issued":{"date-parts":[["2025"]]}},"prefix":""}],"schema":"https://github.com/citation-style-language/schema/raw/master/csl-citation.json"} </w:instrText>
      </w:r>
      <w:r>
        <w:fldChar w:fldCharType="separate"/>
      </w:r>
      <w:r w:rsidR="00CC335A" w:rsidRPr="00CC335A">
        <w:t>(Galindo Flores et al., 2025)</w:t>
      </w:r>
      <w:r>
        <w:fldChar w:fldCharType="end"/>
      </w:r>
      <w:r>
        <w:t>. Esto demuestra que una señal mal ubicada o poco visible no solo se ve fea, sino que puede generar problemas concretos en la experiencia educativa.</w:t>
      </w:r>
    </w:p>
    <w:p w14:paraId="35B0932E" w14:textId="300E7F12" w:rsidR="00713A37" w:rsidRDefault="00B80C5D">
      <w:r>
        <w:t xml:space="preserve">La señalética también ayuda a formar hábitos de convivencia. Un aviso que indique “mantener limpio”, “caminar por este lado” o “respetar el turno” puede orientar ciertas conductas, aunque su efecto depende de que la comunidad comprenda y acepte el mensaje. Cuesta sostiene que las señales educativas pueden utilizarse para promover comportamientos de convivencia en los espacios públicos </w:t>
      </w:r>
      <w:r>
        <w:fldChar w:fldCharType="begin"/>
      </w:r>
      <w:r w:rsidR="00CC335A">
        <w:instrText xml:space="preserve"> ADDIN ZOTERO_ITEM CSL_CITATION {"citationID":"00000005","properties":{"unsorted":false,"formattedCitation":"(Cuesta Moreno, 2010)","plainCitation":"(Cuesta Moreno, 2010)","noteIndex":0},"citationItems":[{"id":266,"uris":["http://zotero.org/users/19279946/items/ACMI4M9B"],"itemData":{"id":266,"type":"article-journal","citation-key":"cuesta2010","container-title":"Signo y Pensamiento","ISSN":"0120-4823","issue":"57","language":"es","page":"458–470","publisher":"Pontificia Universidad Javeriana","publisher-place":"Bogotá, Colombia","title":"Señalización educativa para la convivencia en el espacio público","volume":"29","author":[{"family":"Cuesta Moreno","given":"Oscar Julián"}],"issued":{"date-parts":[["2010"]]}},"prefix":""}],"schema":"https://github.com/citation-style-language/schema/raw/master/csl-citation.json"} </w:instrText>
      </w:r>
      <w:r>
        <w:fldChar w:fldCharType="separate"/>
      </w:r>
      <w:r w:rsidR="00CC335A" w:rsidRPr="00CC335A">
        <w:t>(Cuesta Moreno, 2010)</w:t>
      </w:r>
      <w:r>
        <w:fldChar w:fldCharType="end"/>
      </w:r>
      <w:r>
        <w:t>. En una institución educativa, esto se podría relacionar con el cuidado de los baños, el respeto por las áreas verdes y el uso adecuado de los espacios comunes. No es cuestión de llenar todo de letreros, sino de pedir agrupar la información y colocar solo los mensajes que realmente se necesitan.</w:t>
      </w:r>
    </w:p>
    <w:p w14:paraId="520B23C0" w14:textId="77777777" w:rsidR="00713A37" w:rsidRDefault="00B80C5D">
      <w:pPr>
        <w:pStyle w:val="Heading3"/>
      </w:pPr>
      <w:bookmarkStart w:id="4" w:name="tipos-de-señalética"/>
      <w:bookmarkEnd w:id="3"/>
      <w:r>
        <w:t>Tipos de señalética</w:t>
      </w:r>
    </w:p>
    <w:p w14:paraId="10676700" w14:textId="77777777" w:rsidR="00713A37" w:rsidRDefault="00B80C5D">
      <w:r>
        <w:t>Existen varios tipos de señalética según su función. La señalética informativa comunica datos generales sobre un lugar. En esta categoría se encuentran los letreros que identifican la dirección, la biblioteca, la rectoría, los laboratorios, los baños o la sala de profesores. Su objetivo principal es entregar información directa y ayudar a reconocer cada espacio.</w:t>
      </w:r>
    </w:p>
    <w:p w14:paraId="69E73434" w14:textId="77777777" w:rsidR="00713A37" w:rsidRDefault="00B80C5D">
      <w:r>
        <w:t>La señalética orientativa guía los recorridos mediante flechas, mapas, directorios y referencias visuales. Es especialmente necesaria en instituciones grandes, donde existen varios bloques, pisos o patios. Un directorio ubicado en la entrada puede mostrar la distribución de las aulas y oficinas, mientras que una flecha en un pasillo puede indicar la dirección hacia el laboratorio de computación.</w:t>
      </w:r>
    </w:p>
    <w:p w14:paraId="65CA9A7C" w14:textId="77777777" w:rsidR="00713A37" w:rsidRDefault="00B80C5D">
      <w:r>
        <w:t xml:space="preserve">La señalética preventiva o de precaución advierte sobre posibles riesgos. Algunos ejemplos son “piso mojado”, “alto voltaje”, “cuidado con las escaleras” o “zona de </w:t>
      </w:r>
      <w:r>
        <w:lastRenderedPageBreak/>
        <w:t>construcción”. Su función no es asustar, sino advertir antes de que ocurra un accidente. Para que sea efectiva, debe colocarse cerca del riesgo y mantenerse visible.</w:t>
      </w:r>
    </w:p>
    <w:p w14:paraId="289580F5" w14:textId="77777777" w:rsidR="00713A37" w:rsidRDefault="00B80C5D">
      <w:r>
        <w:t>La señalética prohibitiva indica acciones que no deben realizarse. Entre sus ejemplos están “no fumar”, “no ingresar”, “no tocar” o “prohibido botar basura”. Generalmente utiliza símbolos y colores que permiten reconocer rápidamente la prohibición. Sin embargo, el mensaje debe ser claro y respetuoso, porque una señal demasiado agresiva puede generar rechazo en vez de promover responsabilidad.</w:t>
      </w:r>
    </w:p>
    <w:p w14:paraId="0A80FECA" w14:textId="77777777" w:rsidR="00713A37" w:rsidRDefault="00B80C5D">
      <w:r>
        <w:t>La señalética obligatoria señala acciones que deben cumplirse, como usar mascarilla en un área determinada, colocarse equipos de protección o lavarse las manos. En laboratorios y talleres estas señales son importantes para reducir accidentes y reforzar los procedimientos de seguridad.</w:t>
      </w:r>
    </w:p>
    <w:p w14:paraId="11BB3F50" w14:textId="77777777" w:rsidR="00713A37" w:rsidRDefault="00B80C5D">
      <w:r>
        <w:t>La señalética de emergencia y evacuación muestra salidas, rutas de evacuación, puntos de encuentro, extintores y zonas seguras. En este caso, la visibilidad es fundamental. Los símbolos deben ser reconocibles incluso cuando existe nerviosismo, poca iluminación o movimiento de muchas personas. Por último, también existe la señalética accesible, que puede incorporar braille, relieve, pictogramas sencillos y contrastes adecuados para que más usuarios puedan orientarse de manera autónoma.</w:t>
      </w:r>
    </w:p>
    <w:p w14:paraId="57788ED1" w14:textId="77777777" w:rsidR="00713A37" w:rsidRDefault="00B80C5D">
      <w:pPr>
        <w:pStyle w:val="Heading3"/>
      </w:pPr>
      <w:bookmarkStart w:id="5" w:name="observación-del-entorno-educativo"/>
      <w:bookmarkEnd w:id="4"/>
      <w:r>
        <w:t>Observación del entorno educativo</w:t>
      </w:r>
    </w:p>
    <w:p w14:paraId="470BCEF4" w14:textId="77777777" w:rsidR="00713A37" w:rsidRDefault="00B80C5D">
      <w:r>
        <w:t>Al observar un entorno educativo, normalmente se pueden identificar varias señaléticas en la entrada, los pasillos, los baños, las oficinas y las zonas de evacuación. En un plantel es común encontrar letreros con el nombre de las aulas, señales que indican la ubicación de los servicios higiénicos, carteles de “salida”, símbolos de extintores y avisos relacionados con la limpieza o la convivencia.</w:t>
      </w:r>
    </w:p>
    <w:p w14:paraId="2B0F371D" w14:textId="77777777" w:rsidR="00713A37" w:rsidRDefault="00B80C5D">
      <w:r>
        <w:t xml:space="preserve">Sin embargo, la existencia de señales no significa necesariamente que el sistema sea adecuado. En algunos casos, los carteles están colocados muy arriba, tienen letras pequeñas, </w:t>
      </w:r>
      <w:r>
        <w:lastRenderedPageBreak/>
        <w:t>presentan colores desgastados o se encuentran cubiertos por otros avisos. También puede ocurrir que una misma área aparezca con nombres diferentes, por ejemplo, “inspección”, “inspectoría” y “departamento de disciplina”, lo que puede causar confusión. A mi parecer, ahí se nota que no basta con pegar información; hay que revisar si realmente se entiende y si las personas la utilizan.</w:t>
      </w:r>
    </w:p>
    <w:p w14:paraId="01C23086" w14:textId="12ECE65D" w:rsidR="00713A37" w:rsidRDefault="00B80C5D">
      <w:r>
        <w:t xml:space="preserve">En una observación de este tipo también sería importante revisar si existen rutas de evacuación completas, si los extintores están identificados y si los letreros pueden ser comprendidos por estudiantes con discapacidad visual o auditiva. Galindo Flores et al. señalan que un sistema señalético debe relacionarse con la arquitectura, los recorridos y las necesidades reales de los usuarios </w:t>
      </w:r>
      <w:r>
        <w:fldChar w:fldCharType="begin"/>
      </w:r>
      <w:r w:rsidR="00CC335A">
        <w:instrText xml:space="preserve"> ADDIN ZOTERO_ITEM CSL_CITATION {"citationID":"00000006","properties":{"unsorted":false,"formattedCitation":"(Galindo Flores et\\uc0\\u160{}al., 2025)","plainCitation":"(Galindo Flores et al., 2025)","noteIndex":0},"citationItems":[{"id":267,"uris":["http://zotero.org/users/19279946/items/E5KP9HQE"],"itemData":{"id":267,"type":"article-journal","citation-key":"galindo2025","container-title":"Zincografía","DOI":"10.32870/zcr.v9i18.219","ISSN":"2448-8437","issue":"18","language":"es","publisher":"Universidad de Guadalajara","publisher-place":"Guadalajara, México","title":"Análisis del lenguaje señalético y su relación con la orientación espacial de un Centro Universitario","URL":"http://www.scielo.org.mx/scielo.php?pid=S2448-84372025000200004&amp;script=sci_arttext","volume":"9","author":[{"family":"Galindo Flores","given":"Eduardo"},{"family":"Rodríguez Medina","given":"Daniel"},{"family":"González Castañeda","given":"Mónica"}],"issued":{"date-parts":[["2025"]]}},"prefix":""}],"schema":"https://github.com/citation-style-language/schema/raw/master/csl-citation.json"} </w:instrText>
      </w:r>
      <w:r>
        <w:fldChar w:fldCharType="separate"/>
      </w:r>
      <w:r w:rsidR="00CC335A" w:rsidRPr="00CC335A">
        <w:t>(Galindo Flores et al., 2025)</w:t>
      </w:r>
      <w:r>
        <w:fldChar w:fldCharType="end"/>
      </w:r>
      <w:r>
        <w:t>. Por eso, una institución ubicada en un bloque con varios pisos necesita un sistema más organizado que un plantel pequeño de una sola planta.</w:t>
      </w:r>
    </w:p>
    <w:p w14:paraId="11CC481E" w14:textId="77777777" w:rsidR="00713A37" w:rsidRDefault="00B80C5D">
      <w:r>
        <w:t>En el contexto ecuatoriano, también conviene considerar las características regionales del lugar. No es lo mismo diseñar una señalética para una institución de la Costa, donde puede existir bastante luz solar y humedad, que para una institución de la Sierra, donde las condiciones climáticas y la distribución arquitectónica pueden ser diferentes. En la Amazonía, además, se debería tomar en cuenta la humedad, el deterioro de los materiales y la diversidad cultural de la comunidad. La señalética puede conserva</w:t>
      </w:r>
      <w:r>
        <w:t>r normas generales, pero los materiales, colores y formas de instalación deben adaptarse al entorno. Si no se hace esto, el sistema se daña rápido y queda medio improvisado.</w:t>
      </w:r>
    </w:p>
    <w:p w14:paraId="64F76CA8" w14:textId="77777777" w:rsidR="00713A37" w:rsidRDefault="00B80C5D">
      <w:pPr>
        <w:pStyle w:val="Heading3"/>
      </w:pPr>
      <w:bookmarkStart w:id="6" w:name="Xf0f8554e60faeec92899b4abbb4d094009442b5"/>
      <w:bookmarkEnd w:id="5"/>
      <w:r>
        <w:t>¿Es bueno implementar señalética en la institución?</w:t>
      </w:r>
    </w:p>
    <w:p w14:paraId="03105E00" w14:textId="77777777" w:rsidR="00713A37" w:rsidRDefault="00B80C5D">
      <w:r>
        <w:t xml:space="preserve">Sí, implementar señalética en una institución educativa es beneficioso porque mejora la orientación, fortalece la seguridad y ayuda a organizar la convivencia. Para que la implementación sea realmente útil, primero se debería observar el recorrido de estudiantes, docentes, trabajadores y visitantes. Después sería necesario identificar los puntos donde las </w:t>
      </w:r>
      <w:r>
        <w:lastRenderedPageBreak/>
        <w:t>personas suelen perderse o pedir indicaciones, como entradas, escaleras, baños, oficinas y patios.</w:t>
      </w:r>
    </w:p>
    <w:p w14:paraId="25F2C7DF" w14:textId="77777777" w:rsidR="00713A37" w:rsidRDefault="00B80C5D">
      <w:r>
        <w:t>También se debería mantener un mismo estilo visual en toda la institución. Esto significa utilizar colores, tipografías, tamaños y símbolos coherentes. Los mensajes deben ser breves y directos, porque nadie se detiene a leer un párrafo larguísimo mientras busca un aula. Los pictogramas pueden ser facilísimos de entender si representan de manera clara el lugar o la acción que se quiere comunicar.</w:t>
      </w:r>
    </w:p>
    <w:p w14:paraId="6DEA6D62" w14:textId="77777777" w:rsidR="00713A37" w:rsidRDefault="00B80C5D">
      <w:r>
        <w:t>La implementación debe incluir señales informativas, orientativas, preventivas, obligatorias y de emergencia, pero sin saturar los espacios. Una institución llena de carteles puede terminar confundiendo más que orientando. De igual forma, es necesario revisar periódicamente que la información siga actualizada, que los letreros no estén dañados y que las rutas señaladas coincidan con la distribución real del plantel.</w:t>
      </w:r>
    </w:p>
    <w:p w14:paraId="5573425C" w14:textId="77777777" w:rsidR="00713A37" w:rsidRDefault="00B80C5D">
      <w:r>
        <w:t>En conclusión, implementar señalética en una institución educativa sí es una buena decisión, siempre que se realice mediante una planificación básica y no como una actividad de último rato. A mi parecer, una señalética bien diseñada hace que el entorno sea más seguro, accesible y ordenado. Además, puede contribuir a que los estudiantes desarrollen hábitos de cuidado y respeto por los espacios comunes. La señalética no reemplaza la educación ni las normas institucionales, pero sí funciona como un apoyo visua</w:t>
      </w:r>
      <w:r>
        <w:t>l permanente que orienta a la comunidad y facilita la vida diaria dentro del plantel.</w:t>
      </w:r>
    </w:p>
    <w:p w14:paraId="41C5A3B4" w14:textId="77777777" w:rsidR="00713A37" w:rsidRDefault="00B80C5D">
      <w:pPr>
        <w:pStyle w:val="Heading2"/>
      </w:pPr>
      <w:bookmarkStart w:id="7" w:name="referencias-bibliograficas"/>
      <w:bookmarkEnd w:id="1"/>
      <w:bookmarkEnd w:id="6"/>
      <w:r>
        <w:t>Referencias Bibliograficas</w:t>
      </w:r>
    </w:p>
    <w:p w14:paraId="00ED00BB" w14:textId="77777777" w:rsidR="00CC335A" w:rsidRPr="00CC335A" w:rsidRDefault="00CC335A" w:rsidP="00CC335A">
      <w:pPr>
        <w:pStyle w:val="Bibliography"/>
      </w:pPr>
      <w:r>
        <w:fldChar w:fldCharType="begin"/>
      </w:r>
      <w:r>
        <w:instrText xml:space="preserve"> ADDIN ZOTERO_BIBL {"uncited":[],"omitted":[],"custom":[]} CSL_BIBLIOGRAPHY </w:instrText>
      </w:r>
      <w:r>
        <w:fldChar w:fldCharType="separate"/>
      </w:r>
      <w:r w:rsidRPr="00CC335A">
        <w:t xml:space="preserve">Costa, J. (1987). </w:t>
      </w:r>
      <w:r w:rsidRPr="00CC335A">
        <w:rPr>
          <w:i/>
          <w:iCs/>
        </w:rPr>
        <w:t>Señalética</w:t>
      </w:r>
      <w:r w:rsidRPr="00CC335A">
        <w:t>. Centro Internacional de Investigación y Aplicaciones de la Comunicación.</w:t>
      </w:r>
    </w:p>
    <w:p w14:paraId="1F41C074" w14:textId="77777777" w:rsidR="00CC335A" w:rsidRPr="00CC335A" w:rsidRDefault="00CC335A" w:rsidP="00CC335A">
      <w:pPr>
        <w:pStyle w:val="Bibliography"/>
      </w:pPr>
      <w:r w:rsidRPr="00CC335A">
        <w:t xml:space="preserve">Cuesta Moreno, O. J. (2010). Señalización educativa para la convivencia en el espacio público. </w:t>
      </w:r>
      <w:r w:rsidRPr="00CC335A">
        <w:rPr>
          <w:i/>
          <w:iCs/>
        </w:rPr>
        <w:t>Signo y Pensamiento</w:t>
      </w:r>
      <w:r w:rsidRPr="00CC335A">
        <w:t xml:space="preserve">, </w:t>
      </w:r>
      <w:r w:rsidRPr="00CC335A">
        <w:rPr>
          <w:i/>
          <w:iCs/>
        </w:rPr>
        <w:t>29</w:t>
      </w:r>
      <w:r w:rsidRPr="00CC335A">
        <w:t>(57), 458–470.</w:t>
      </w:r>
    </w:p>
    <w:p w14:paraId="3880F6A9" w14:textId="77777777" w:rsidR="00CC335A" w:rsidRPr="00CC335A" w:rsidRDefault="00CC335A" w:rsidP="00CC335A">
      <w:pPr>
        <w:pStyle w:val="Bibliography"/>
      </w:pPr>
      <w:r w:rsidRPr="00CC335A">
        <w:lastRenderedPageBreak/>
        <w:t xml:space="preserve">Galindo Flores, E., Rodríguez Medina, D., &amp; González Castañeda, M. (2025). Análisis del lenguaje señalético y su relación con la orientación espacial de un Centro Universitario. </w:t>
      </w:r>
      <w:proofErr w:type="spellStart"/>
      <w:r w:rsidRPr="00CC335A">
        <w:rPr>
          <w:i/>
          <w:iCs/>
        </w:rPr>
        <w:t>Zincografía</w:t>
      </w:r>
      <w:proofErr w:type="spellEnd"/>
      <w:r w:rsidRPr="00CC335A">
        <w:t xml:space="preserve">, </w:t>
      </w:r>
      <w:r w:rsidRPr="00CC335A">
        <w:rPr>
          <w:i/>
          <w:iCs/>
        </w:rPr>
        <w:t>9</w:t>
      </w:r>
      <w:r w:rsidRPr="00CC335A">
        <w:t>(18). https://doi.org/10.32870/zcr.v9i18.219</w:t>
      </w:r>
    </w:p>
    <w:p w14:paraId="4683928A" w14:textId="77777777" w:rsidR="00CC335A" w:rsidRPr="00CC335A" w:rsidRDefault="00CC335A" w:rsidP="00CC335A">
      <w:pPr>
        <w:pStyle w:val="Bibliography"/>
      </w:pPr>
      <w:r w:rsidRPr="00CC335A">
        <w:t xml:space="preserve">Instituto Ecuatoriano de Normalización. (2013). </w:t>
      </w:r>
      <w:r w:rsidRPr="00CC335A">
        <w:rPr>
          <w:i/>
          <w:iCs/>
        </w:rPr>
        <w:t>NTE INEN-ISO 3864-1:2013: Símbolos gráficos, colores de seguridad y señales de seguridad. Parte 1: Principios de diseño para señales de seguridad e indicaciones de seguridad</w:t>
      </w:r>
      <w:r w:rsidRPr="00CC335A">
        <w:t xml:space="preserve"> (NTE INEN-ISO 3864-1:2013). Instituto Ecuatoriano de Normalización.</w:t>
      </w:r>
    </w:p>
    <w:p w14:paraId="562619E3" w14:textId="46AD947D" w:rsidR="00713A37" w:rsidRDefault="00CC335A">
      <w:r>
        <w:fldChar w:fldCharType="end"/>
      </w:r>
      <w:bookmarkEnd w:id="0"/>
      <w:bookmarkEnd w:id="7"/>
    </w:p>
    <w:sectPr w:rsidR="00713A37">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5427B" w14:textId="77777777" w:rsidR="00B80C5D" w:rsidRDefault="00B80C5D">
      <w:pPr>
        <w:spacing w:line="240" w:lineRule="auto"/>
      </w:pPr>
      <w:r>
        <w:separator/>
      </w:r>
    </w:p>
  </w:endnote>
  <w:endnote w:type="continuationSeparator" w:id="0">
    <w:p w14:paraId="279C3233" w14:textId="77777777" w:rsidR="00B80C5D" w:rsidRDefault="00B80C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0BF3D" w14:textId="77777777" w:rsidR="00B80C5D" w:rsidRDefault="00B80C5D">
      <w:pPr>
        <w:spacing w:line="240" w:lineRule="auto"/>
      </w:pPr>
      <w:r>
        <w:separator/>
      </w:r>
    </w:p>
  </w:footnote>
  <w:footnote w:type="continuationSeparator" w:id="0">
    <w:p w14:paraId="06EB1F1E" w14:textId="77777777" w:rsidR="00B80C5D" w:rsidRDefault="00B80C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33C9" w14:textId="77777777" w:rsidR="005255D3" w:rsidRPr="00F62BB2" w:rsidRDefault="00294A54">
    <w:pPr>
      <w:tabs>
        <w:tab w:val="right" w:pos="9026"/>
      </w:tabs>
      <w:spacing w:line="240" w:lineRule="auto"/>
    </w:pPr>
    <w:r w:rsidRPr="00F62BB2">
      <w:tab/>
    </w:r>
    <w:r w:rsidRPr="00F62BB2">
      <w:fldChar w:fldCharType="begin"/>
    </w:r>
    <w:r w:rsidRPr="00F62BB2">
      <w:instrText>PAGE</w:instrText>
    </w:r>
    <w:r w:rsidRPr="00F62BB2">
      <w:fldChar w:fldCharType="separate"/>
    </w:r>
    <w:r w:rsidR="005065F9" w:rsidRPr="00F62BB2">
      <w:t>1</w:t>
    </w:r>
    <w:r w:rsidRPr="00F62BB2">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A8B7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488B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4A33996"/>
    <w:multiLevelType w:val="hybridMultilevel"/>
    <w:tmpl w:val="EA7885BC"/>
    <w:lvl w:ilvl="0" w:tplc="F5B6F5A4">
      <w:start w:val="1"/>
      <w:numFmt w:val="bullet"/>
      <w:lvlText w:val="•"/>
      <w:lvlJc w:val="left"/>
      <w:pPr>
        <w:spacing w:line="480" w:lineRule="auto"/>
        <w:ind w:left="720" w:hanging="360"/>
      </w:pPr>
      <w:rPr>
        <w:rFonts w:ascii="Symbol" w:eastAsia="Symbol" w:hAnsi="Symbol" w:cs="Symbol"/>
      </w:rPr>
    </w:lvl>
    <w:lvl w:ilvl="1" w:tplc="49B05F46">
      <w:start w:val="1"/>
      <w:numFmt w:val="bullet"/>
      <w:lvlText w:val="◦"/>
      <w:lvlJc w:val="left"/>
      <w:pPr>
        <w:spacing w:line="480" w:lineRule="auto"/>
        <w:ind w:left="1080" w:hanging="360"/>
      </w:pPr>
      <w:rPr>
        <w:rFonts w:ascii="Courier New" w:eastAsia="Courier New" w:hAnsi="Courier New" w:cs="Courier New"/>
      </w:rPr>
    </w:lvl>
    <w:lvl w:ilvl="2" w:tplc="88CA2A02">
      <w:numFmt w:val="decimal"/>
      <w:lvlText w:val=""/>
      <w:lvlJc w:val="left"/>
    </w:lvl>
    <w:lvl w:ilvl="3" w:tplc="F66E9180">
      <w:numFmt w:val="decimal"/>
      <w:lvlText w:val=""/>
      <w:lvlJc w:val="left"/>
    </w:lvl>
    <w:lvl w:ilvl="4" w:tplc="49BE5F12">
      <w:numFmt w:val="decimal"/>
      <w:lvlText w:val=""/>
      <w:lvlJc w:val="left"/>
    </w:lvl>
    <w:lvl w:ilvl="5" w:tplc="9D1257A4">
      <w:numFmt w:val="decimal"/>
      <w:lvlText w:val=""/>
      <w:lvlJc w:val="left"/>
    </w:lvl>
    <w:lvl w:ilvl="6" w:tplc="9A10E95C">
      <w:numFmt w:val="decimal"/>
      <w:lvlText w:val=""/>
      <w:lvlJc w:val="left"/>
    </w:lvl>
    <w:lvl w:ilvl="7" w:tplc="0A886CBE">
      <w:numFmt w:val="decimal"/>
      <w:lvlText w:val=""/>
      <w:lvlJc w:val="left"/>
    </w:lvl>
    <w:lvl w:ilvl="8" w:tplc="55BC8776">
      <w:numFmt w:val="decimal"/>
      <w:lvlText w:val=""/>
      <w:lvlJc w:val="left"/>
    </w:lvl>
  </w:abstractNum>
  <w:abstractNum w:abstractNumId="3" w15:restartNumberingAfterBreak="0">
    <w:nsid w:val="5A151DDF"/>
    <w:multiLevelType w:val="hybridMultilevel"/>
    <w:tmpl w:val="36A83932"/>
    <w:lvl w:ilvl="0" w:tplc="8438DC3C">
      <w:start w:val="1"/>
      <w:numFmt w:val="decimal"/>
      <w:lvlText w:val="%1."/>
      <w:lvlJc w:val="left"/>
      <w:pPr>
        <w:spacing w:line="480" w:lineRule="auto"/>
        <w:ind w:left="720" w:hanging="360"/>
      </w:pPr>
    </w:lvl>
    <w:lvl w:ilvl="1" w:tplc="971EC55C">
      <w:numFmt w:val="decimal"/>
      <w:lvlText w:val=""/>
      <w:lvlJc w:val="left"/>
    </w:lvl>
    <w:lvl w:ilvl="2" w:tplc="D1B0FDB0">
      <w:numFmt w:val="decimal"/>
      <w:lvlText w:val=""/>
      <w:lvlJc w:val="left"/>
    </w:lvl>
    <w:lvl w:ilvl="3" w:tplc="14C6539A">
      <w:numFmt w:val="decimal"/>
      <w:lvlText w:val=""/>
      <w:lvlJc w:val="left"/>
    </w:lvl>
    <w:lvl w:ilvl="4" w:tplc="9A321600">
      <w:numFmt w:val="decimal"/>
      <w:lvlText w:val=""/>
      <w:lvlJc w:val="left"/>
    </w:lvl>
    <w:lvl w:ilvl="5" w:tplc="5352F1B8">
      <w:numFmt w:val="decimal"/>
      <w:lvlText w:val=""/>
      <w:lvlJc w:val="left"/>
    </w:lvl>
    <w:lvl w:ilvl="6" w:tplc="DA72CDFC">
      <w:numFmt w:val="decimal"/>
      <w:lvlText w:val=""/>
      <w:lvlJc w:val="left"/>
    </w:lvl>
    <w:lvl w:ilvl="7" w:tplc="E95E72F4">
      <w:numFmt w:val="decimal"/>
      <w:lvlText w:val=""/>
      <w:lvlJc w:val="left"/>
    </w:lvl>
    <w:lvl w:ilvl="8" w:tplc="54D2551C">
      <w:numFmt w:val="decimal"/>
      <w:lvlText w:val=""/>
      <w:lvlJc w:val="left"/>
    </w:lvl>
  </w:abstractNum>
  <w:abstractNum w:abstractNumId="4" w15:restartNumberingAfterBreak="0">
    <w:nsid w:val="723119D2"/>
    <w:multiLevelType w:val="hybridMultilevel"/>
    <w:tmpl w:val="DDD4912C"/>
    <w:lvl w:ilvl="0" w:tplc="C3CE2DEC">
      <w:start w:val="1"/>
      <w:numFmt w:val="bullet"/>
      <w:lvlText w:val="●"/>
      <w:lvlJc w:val="left"/>
      <w:pPr>
        <w:ind w:left="720" w:hanging="360"/>
      </w:pPr>
    </w:lvl>
    <w:lvl w:ilvl="1" w:tplc="3E76C2D0">
      <w:start w:val="1"/>
      <w:numFmt w:val="bullet"/>
      <w:lvlText w:val="○"/>
      <w:lvlJc w:val="left"/>
      <w:pPr>
        <w:ind w:left="1440" w:hanging="360"/>
      </w:pPr>
    </w:lvl>
    <w:lvl w:ilvl="2" w:tplc="5D223C96">
      <w:start w:val="1"/>
      <w:numFmt w:val="bullet"/>
      <w:lvlText w:val="■"/>
      <w:lvlJc w:val="left"/>
      <w:pPr>
        <w:ind w:left="2160" w:hanging="360"/>
      </w:pPr>
    </w:lvl>
    <w:lvl w:ilvl="3" w:tplc="A9525DC8">
      <w:start w:val="1"/>
      <w:numFmt w:val="bullet"/>
      <w:lvlText w:val="●"/>
      <w:lvlJc w:val="left"/>
      <w:pPr>
        <w:ind w:left="2880" w:hanging="360"/>
      </w:pPr>
    </w:lvl>
    <w:lvl w:ilvl="4" w:tplc="5D08647E">
      <w:start w:val="1"/>
      <w:numFmt w:val="bullet"/>
      <w:lvlText w:val="○"/>
      <w:lvlJc w:val="left"/>
      <w:pPr>
        <w:ind w:left="3600" w:hanging="360"/>
      </w:pPr>
    </w:lvl>
    <w:lvl w:ilvl="5" w:tplc="B0E82800">
      <w:start w:val="1"/>
      <w:numFmt w:val="bullet"/>
      <w:lvlText w:val="■"/>
      <w:lvlJc w:val="left"/>
      <w:pPr>
        <w:ind w:left="4320" w:hanging="360"/>
      </w:pPr>
    </w:lvl>
    <w:lvl w:ilvl="6" w:tplc="EAC07566">
      <w:start w:val="1"/>
      <w:numFmt w:val="bullet"/>
      <w:lvlText w:val="●"/>
      <w:lvlJc w:val="left"/>
      <w:pPr>
        <w:ind w:left="5040" w:hanging="360"/>
      </w:pPr>
    </w:lvl>
    <w:lvl w:ilvl="7" w:tplc="42285A9E">
      <w:start w:val="1"/>
      <w:numFmt w:val="bullet"/>
      <w:lvlText w:val="●"/>
      <w:lvlJc w:val="left"/>
      <w:pPr>
        <w:ind w:left="5760" w:hanging="360"/>
      </w:pPr>
    </w:lvl>
    <w:lvl w:ilvl="8" w:tplc="DBAE62D0">
      <w:start w:val="1"/>
      <w:numFmt w:val="bullet"/>
      <w:lvlText w:val="●"/>
      <w:lvlJc w:val="left"/>
      <w:pPr>
        <w:ind w:left="6480" w:hanging="360"/>
      </w:pPr>
    </w:lvl>
  </w:abstractNum>
  <w:num w:numId="1" w16cid:durableId="106584179">
    <w:abstractNumId w:val="4"/>
    <w:lvlOverride w:ilvl="0">
      <w:startOverride w:val="1"/>
    </w:lvlOverride>
  </w:num>
  <w:num w:numId="2" w16cid:durableId="2022510626">
    <w:abstractNumId w:val="0"/>
  </w:num>
  <w:num w:numId="3" w16cid:durableId="1953436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5D3"/>
    <w:rsid w:val="000962A5"/>
    <w:rsid w:val="001E0048"/>
    <w:rsid w:val="00294A54"/>
    <w:rsid w:val="004269A9"/>
    <w:rsid w:val="005065F9"/>
    <w:rsid w:val="005255D3"/>
    <w:rsid w:val="00647813"/>
    <w:rsid w:val="006D7C70"/>
    <w:rsid w:val="00713A37"/>
    <w:rsid w:val="00A83B8A"/>
    <w:rsid w:val="00B050C1"/>
    <w:rsid w:val="00B80C5D"/>
    <w:rsid w:val="00C74466"/>
    <w:rsid w:val="00CC335A"/>
    <w:rsid w:val="00CF6B73"/>
    <w:rsid w:val="00F34D32"/>
    <w:rsid w:val="00F62BB2"/>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9BA6"/>
  <w15:docId w15:val="{B96C2DBE-A515-42E6-959A-0526154C0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001" w:eastAsia="en-001"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rPr>
      <w:lang w:val="es-EC"/>
    </w:rPr>
  </w:style>
  <w:style w:type="paragraph" w:styleId="Heading1">
    <w:name w:val="heading 1"/>
    <w:basedOn w:val="Normal"/>
    <w:next w:val="Normal"/>
    <w:uiPriority w:val="9"/>
    <w:qFormat/>
    <w:pPr>
      <w:ind w:firstLine="0"/>
      <w:jc w:val="center"/>
      <w:outlineLvl w:val="0"/>
    </w:pPr>
    <w:rPr>
      <w:b/>
      <w:bCs/>
    </w:rPr>
  </w:style>
  <w:style w:type="paragraph" w:styleId="Heading2">
    <w:name w:val="heading 2"/>
    <w:basedOn w:val="Normal"/>
    <w:next w:val="Normal"/>
    <w:uiPriority w:val="9"/>
    <w:unhideWhenUsed/>
    <w:qFormat/>
    <w:pPr>
      <w:ind w:firstLine="0"/>
      <w:outlineLvl w:val="1"/>
    </w:pPr>
    <w:rPr>
      <w:b/>
      <w:bCs/>
    </w:rPr>
  </w:style>
  <w:style w:type="paragraph" w:styleId="Heading3">
    <w:name w:val="heading 3"/>
    <w:basedOn w:val="Normal"/>
    <w:next w:val="Normal"/>
    <w:uiPriority w:val="9"/>
    <w:unhideWhenUsed/>
    <w:qFormat/>
    <w:pPr>
      <w:ind w:firstLine="0"/>
      <w:outlineLvl w:val="2"/>
    </w:pPr>
    <w:rPr>
      <w:b/>
      <w:bCs/>
      <w:i/>
      <w:iCs/>
    </w:rPr>
  </w:style>
  <w:style w:type="paragraph" w:styleId="Heading4">
    <w:name w:val="heading 4"/>
    <w:basedOn w:val="Normal"/>
    <w:next w:val="Normal"/>
    <w:uiPriority w:val="9"/>
    <w:unhideWhenUsed/>
    <w:qFormat/>
    <w:pPr>
      <w:outlineLvl w:val="3"/>
    </w:pPr>
    <w:rPr>
      <w:b/>
      <w:bCs/>
    </w:rPr>
  </w:style>
  <w:style w:type="paragraph" w:styleId="Heading5">
    <w:name w:val="heading 5"/>
    <w:basedOn w:val="Normal"/>
    <w:next w:val="Normal"/>
    <w:uiPriority w:val="9"/>
    <w:unhideWhenUsed/>
    <w:qFormat/>
    <w:pPr>
      <w:outlineLvl w:val="4"/>
    </w:pPr>
    <w:rPr>
      <w:b/>
      <w:bCs/>
      <w:i/>
      <w:iCs/>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PABody">
    <w:name w:val="APA Body"/>
    <w:basedOn w:val="Normal"/>
    <w:qFormat/>
  </w:style>
  <w:style w:type="paragraph" w:customStyle="1" w:styleId="APAAbstract">
    <w:name w:val="APA Abstract"/>
    <w:basedOn w:val="Normal"/>
    <w:qFormat/>
    <w:pPr>
      <w:ind w:firstLine="0"/>
    </w:pPr>
  </w:style>
  <w:style w:type="paragraph" w:customStyle="1" w:styleId="APABlockQuote">
    <w:name w:val="APA Block Quote"/>
    <w:basedOn w:val="Normal"/>
    <w:next w:val="APABody"/>
    <w:qFormat/>
    <w:pPr>
      <w:ind w:left="720" w:firstLine="0"/>
    </w:pPr>
  </w:style>
  <w:style w:type="paragraph" w:customStyle="1" w:styleId="APAReferenceEntry">
    <w:name w:val="APA Reference Entry"/>
    <w:basedOn w:val="Normal"/>
    <w:qFormat/>
    <w:pPr>
      <w:ind w:left="720" w:hanging="720"/>
    </w:pPr>
  </w:style>
  <w:style w:type="paragraph" w:customStyle="1" w:styleId="APATableTitle">
    <w:name w:val="APA Table Title"/>
    <w:basedOn w:val="Normal"/>
    <w:next w:val="Normal"/>
    <w:qFormat/>
    <w:pPr>
      <w:spacing w:line="240" w:lineRule="auto"/>
      <w:ind w:firstLine="0"/>
    </w:pPr>
    <w:rPr>
      <w:i/>
      <w:iCs/>
    </w:rPr>
  </w:style>
  <w:style w:type="paragraph" w:customStyle="1" w:styleId="APATableNumber">
    <w:name w:val="APA Table Number"/>
    <w:basedOn w:val="Normal"/>
    <w:next w:val="APATableTitle"/>
    <w:qFormat/>
    <w:pPr>
      <w:spacing w:before="240" w:line="240" w:lineRule="auto"/>
      <w:ind w:firstLine="0"/>
    </w:pPr>
    <w:rPr>
      <w:b/>
      <w:bCs/>
    </w:rPr>
  </w:style>
  <w:style w:type="paragraph" w:customStyle="1" w:styleId="APATableNote">
    <w:name w:val="APA Table Note"/>
    <w:basedOn w:val="Normal"/>
    <w:next w:val="Normal"/>
    <w:pPr>
      <w:spacing w:line="240" w:lineRule="auto"/>
      <w:ind w:firstLine="0"/>
    </w:pPr>
  </w:style>
  <w:style w:type="paragraph" w:customStyle="1" w:styleId="APAFigureNumber">
    <w:name w:val="APA Figure Number"/>
    <w:basedOn w:val="Normal"/>
    <w:next w:val="APAFigureTitle"/>
    <w:pPr>
      <w:spacing w:before="240" w:line="240" w:lineRule="auto"/>
      <w:ind w:firstLine="0"/>
    </w:pPr>
    <w:rPr>
      <w:b/>
      <w:bCs/>
    </w:rPr>
  </w:style>
  <w:style w:type="paragraph" w:customStyle="1" w:styleId="APAFigureTitle">
    <w:name w:val="APA Figure Title"/>
    <w:basedOn w:val="Normal"/>
    <w:next w:val="Normal"/>
    <w:pPr>
      <w:spacing w:line="240" w:lineRule="auto"/>
      <w:ind w:firstLine="0"/>
    </w:pPr>
    <w:rPr>
      <w:i/>
      <w:iCs/>
    </w:rPr>
  </w:style>
  <w:style w:type="paragraph" w:customStyle="1" w:styleId="APAFigureNote">
    <w:name w:val="APA Figure Note"/>
    <w:basedOn w:val="Normal"/>
    <w:next w:val="Normal"/>
    <w:pPr>
      <w:spacing w:line="240" w:lineRule="auto"/>
      <w:ind w:firstLine="0"/>
    </w:pPr>
  </w:style>
  <w:style w:type="paragraph" w:customStyle="1" w:styleId="APAFootnote">
    <w:name w:val="APA Footnote"/>
    <w:basedOn w:val="Normal"/>
    <w:pPr>
      <w:spacing w:line="240" w:lineRule="auto"/>
      <w:ind w:firstLine="360"/>
    </w:pPr>
  </w:style>
  <w:style w:type="paragraph" w:customStyle="1" w:styleId="APACodeBody">
    <w:name w:val="APA Code Body"/>
    <w:basedOn w:val="Normal"/>
    <w:qFormat/>
    <w:pPr>
      <w:shd w:val="clear" w:color="auto" w:fill="F2F2F2"/>
      <w:spacing w:before="60" w:after="60" w:line="240" w:lineRule="auto"/>
      <w:ind w:left="720" w:firstLine="0"/>
    </w:pPr>
    <w:rPr>
      <w:rFonts w:ascii="Courier New" w:eastAsia="Courier New" w:hAnsi="Courier New" w:cs="Courier New"/>
      <w:sz w:val="20"/>
      <w:szCs w:val="20"/>
    </w:rPr>
  </w:style>
  <w:style w:type="paragraph" w:customStyle="1" w:styleId="APACoverTitle">
    <w:name w:val="APA Cover Title"/>
    <w:basedOn w:val="Normal"/>
    <w:next w:val="Normal"/>
    <w:qFormat/>
    <w:pPr>
      <w:ind w:firstLine="0"/>
      <w:jc w:val="center"/>
    </w:pPr>
  </w:style>
  <w:style w:type="paragraph" w:customStyle="1" w:styleId="APASectionLabel">
    <w:name w:val="APA Section Label"/>
    <w:basedOn w:val="Normal"/>
    <w:next w:val="APABody"/>
    <w:qFormat/>
    <w:pPr>
      <w:ind w:firstLine="0"/>
      <w:jc w:val="center"/>
    </w:pPr>
    <w:rPr>
      <w:b/>
      <w:bCs/>
    </w:rPr>
  </w:style>
  <w:style w:type="paragraph" w:customStyle="1" w:styleId="APAKeywords">
    <w:name w:val="APA Keywords"/>
    <w:basedOn w:val="Normal"/>
    <w:next w:val="APAAbstract"/>
    <w:pPr>
      <w:ind w:firstLine="0"/>
    </w:pPr>
  </w:style>
  <w:style w:type="table" w:customStyle="1" w:styleId="APATable7">
    <w:name w:val="APA Table 7"/>
    <w:basedOn w:val="TableNormal"/>
    <w:uiPriority w:val="1"/>
    <w:qFormat/>
    <w:rsid w:val="00F34D32"/>
    <w:pPr>
      <w:spacing w:line="240" w:lineRule="auto"/>
    </w:pPr>
    <w:rPr>
      <w:lang w:eastAsia="en-US"/>
    </w:rPr>
    <w:tblPr>
      <w:tblBorders>
        <w:top w:val="single" w:sz="12" w:space="0" w:color="000000"/>
        <w:bottom w:val="single" w:sz="12" w:space="0" w:color="000000"/>
      </w:tblBorders>
      <w:tblCellMar>
        <w:top w:w="60" w:type="dxa"/>
        <w:left w:w="60" w:type="dxa"/>
        <w:bottom w:w="60" w:type="dxa"/>
        <w:right w:w="60" w:type="dxa"/>
      </w:tblCellMar>
    </w:tblPr>
    <w:tblStylePr w:type="firstRow">
      <w:pPr>
        <w:spacing w:before="0" w:after="0" w:line="240" w:lineRule="auto"/>
        <w:jc w:val="left"/>
      </w:pPr>
      <w:rPr>
        <w:b/>
        <w:bCs/>
      </w:rPr>
      <w:tblPr/>
      <w:tcPr>
        <w:tcBorders>
          <w:top w:val="single" w:sz="12" w:space="0" w:color="000000"/>
          <w:left w:val="none" w:sz="0" w:space="0" w:color="auto"/>
          <w:bottom w:val="single" w:sz="6" w:space="0" w:color="000000"/>
          <w:right w:val="none" w:sz="0" w:space="0" w:color="auto"/>
        </w:tcBorders>
      </w:tcPr>
    </w:tblStylePr>
    <w:tblStylePr w:type="lastRow">
      <w:tblPr/>
      <w:tcPr>
        <w:tcBorders>
          <w:top w:val="none" w:sz="0" w:space="0" w:color="auto"/>
          <w:left w:val="none" w:sz="0" w:space="0" w:color="auto"/>
          <w:bottom w:val="single" w:sz="12" w:space="0" w:color="000000"/>
          <w:right w:val="none" w:sz="0" w:space="0" w:color="auto"/>
        </w:tcBorders>
      </w:tcPr>
    </w:tblStylePr>
    <w:tblStylePr w:type="band1Horz">
      <w:tblPr/>
      <w:tcPr>
        <w:tcBorders>
          <w:top w:val="none" w:sz="0" w:space="0" w:color="auto"/>
          <w:left w:val="none" w:sz="0" w:space="0" w:color="auto"/>
          <w:bottom w:val="none" w:sz="0" w:space="0" w:color="auto"/>
          <w:right w:val="none" w:sz="0" w:space="0" w:color="auto"/>
          <w:insideH w:val="none" w:sz="0" w:space="0" w:color="auto"/>
          <w:insideV w:val="none" w:sz="0" w:space="0" w:color="auto"/>
        </w:tcBorders>
      </w:tcPr>
    </w:tblStylePr>
    <w:tblStylePr w:type="band2Horz">
      <w:tblPr/>
      <w:tcPr>
        <w:tcBorders>
          <w:top w:val="none" w:sz="0" w:space="0" w:color="auto"/>
          <w:left w:val="none" w:sz="0" w:space="0" w:color="auto"/>
          <w:bottom w:val="none" w:sz="0" w:space="0" w:color="auto"/>
          <w:right w:val="none" w:sz="0" w:space="0" w:color="auto"/>
          <w:insideH w:val="none" w:sz="0" w:space="0" w:color="auto"/>
          <w:insideV w:val="none" w:sz="0" w:space="0" w:color="auto"/>
        </w:tcBorders>
      </w:tcPr>
    </w:tblStylePr>
  </w:style>
  <w:style w:type="table" w:styleId="TableGrid">
    <w:name w:val="Table Grid"/>
    <w:basedOn w:val="TableNormal"/>
    <w:uiPriority w:val="39"/>
    <w:rsid w:val="005065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Bibliography">
    <w:name w:val="Bibliography"/>
    <w:basedOn w:val="Normal"/>
    <w:next w:val="Normal"/>
    <w:uiPriority w:val="37"/>
    <w:unhideWhenUsed/>
    <w:rsid w:val="00CC335A"/>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2646</Words>
  <Characters>15085</Characters>
  <Application>Microsoft Office Word</Application>
  <DocSecurity>0</DocSecurity>
  <Lines>125</Lines>
  <Paragraphs>35</Paragraphs>
  <ScaleCrop>false</ScaleCrop>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MARCO ABARCA RODRÍGUEZ</cp:lastModifiedBy>
  <cp:revision>3</cp:revision>
  <dcterms:created xsi:type="dcterms:W3CDTF">2026-09-27T22:01:00Z</dcterms:created>
  <dcterms:modified xsi:type="dcterms:W3CDTF">2026-09-27T22:03:00Z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
    <vt:lpwstr/>
  </property>
  <property fmtid="{D5CDD505-2E9C-101B-9397-08002B2CF9AE}" pid="3" name="zotero_author_in_text">
    <vt:lpwstr>True</vt:lpwstr>
  </property>
  <property fmtid="{D5CDD505-2E9C-101B-9397-08002B2CF9AE}" pid="4" name="zotero_client">
    <vt:lpwstr>zotero</vt:lpwstr>
  </property>
  <property fmtid="{D5CDD505-2E9C-101B-9397-08002B2CF9AE}" pid="5" name="zotero_csl_style">
    <vt:lpwstr>apa</vt:lpwstr>
  </property>
  <property fmtid="{D5CDD505-2E9C-101B-9397-08002B2CF9AE}" pid="6" name="zotero_scannable_cite">
    <vt:lpwstr>False</vt:lpwstr>
  </property>
  <property fmtid="{D5CDD505-2E9C-101B-9397-08002B2CF9AE}" pid="7" name="zotero_sorted">
    <vt:lpwstr>True</vt:lpwstr>
  </property>
  <property fmtid="{D5CDD505-2E9C-101B-9397-08002B2CF9AE}" pid="8" name="ZOTERO_PREF_1">
    <vt:lpwstr>&lt;data data-version="3" zotero-version="9.0.6"&gt;&lt;session id="7PWe3TOX"/&gt;&lt;style id="http://www.zotero.org/styles/apa" locale="es-MX" hasBibliography="1" bibliographyStyleHasBeenSet="1"/&gt;&lt;prefs&gt;&lt;pref name="fieldType" value="Field"/&gt;&lt;pref name="automaticJourna</vt:lpwstr>
  </property>
  <property fmtid="{D5CDD505-2E9C-101B-9397-08002B2CF9AE}" pid="9" name="ZOTERO_PREF_2">
    <vt:lpwstr>lAbbreviations" value="true"/&gt;&lt;/prefs&gt;&lt;/data&gt;</vt:lpwstr>
  </property>
</Properties>
</file>