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IPC2BNS-Verify: A Constraint-Verified, Incrementally Refreshable RAG Architecture for Indian Statutory Transitions</w:t>
      </w:r>
    </w:p>
    <w:p>
      <w:r>
        <w:rPr>
          <w:i/>
        </w:rPr>
        <w:t>Authors: Research Team</w:t>
        <w:br/>
        <w:t>Date: September 2026</w:t>
        <w:br/>
        <w:br/>
      </w:r>
    </w:p>
    <w:p>
      <w:pPr>
        <w:pStyle w:val="Heading1"/>
      </w:pPr>
      <w:r>
        <w:t>Abstract</w:t>
      </w:r>
    </w:p>
    <w:p>
      <w:r>
        <w:t>On July 1, 2024, the Republic of India implemented the Bharatiya Nyaya Sanhita, 2023 (BNS), replacing the Indian Penal Code, 1860 (IPC). We present IPC2BNS-Verify, an end-to-end framework combining deterministic concordance lookup, BM25 statutory retrieval, a two-layer hard-constraint verifier with query-intent alignment, and incremental hot-patch refresh.</w:t>
      </w:r>
    </w:p>
    <w:p>
      <w:pPr>
        <w:pStyle w:val="Heading1"/>
      </w:pPr>
      <w:r>
        <w:t>1. Master Experimental Ablation Results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Stage</w:t>
            </w:r>
          </w:p>
        </w:tc>
        <w:tc>
          <w:tcPr>
            <w:tcW w:type="dxa" w:w="1440"/>
          </w:tcPr>
          <w:p>
            <w:r>
              <w:t>Configuration</w:t>
            </w:r>
          </w:p>
        </w:tc>
        <w:tc>
          <w:tcPr>
            <w:tcW w:type="dxa" w:w="1440"/>
          </w:tcPr>
          <w:p>
            <w:r>
              <w:t>Sample Size (N)</w:t>
            </w:r>
          </w:p>
        </w:tc>
        <w:tc>
          <w:tcPr>
            <w:tcW w:type="dxa" w:w="1440"/>
          </w:tcPr>
          <w:p>
            <w:r>
              <w:t>Citation Acc</w:t>
            </w:r>
          </w:p>
        </w:tc>
        <w:tc>
          <w:tcPr>
            <w:tcW w:type="dxa" w:w="1440"/>
          </w:tcPr>
          <w:p>
            <w:r>
              <w:t>Hallucination Catch</w:t>
            </w:r>
          </w:p>
        </w:tc>
        <w:tc>
          <w:tcPr>
            <w:tcW w:type="dxa" w:w="1440"/>
          </w:tcPr>
          <w:p>
            <w:r>
              <w:t>Adaptivity Delta</w:t>
            </w:r>
          </w:p>
        </w:tc>
      </w:tr>
      <w:tr>
        <w:tc>
          <w:tcPr>
            <w:tcW w:type="dxa" w:w="1440"/>
          </w:tcPr>
          <w:p>
            <w:r>
              <w:t>Stage 1</w:t>
            </w:r>
          </w:p>
        </w:tc>
        <w:tc>
          <w:tcPr>
            <w:tcW w:type="dxa" w:w="1440"/>
          </w:tcPr>
          <w:p>
            <w:r>
              <w:t>Baseline LLM (Closed-Book)</w:t>
            </w:r>
          </w:p>
        </w:tc>
        <w:tc>
          <w:tcPr>
            <w:tcW w:type="dxa" w:w="1440"/>
          </w:tcPr>
          <w:p>
            <w:r>
              <w:t>N=17 dev queries</w:t>
            </w:r>
          </w:p>
        </w:tc>
        <w:tc>
          <w:tcPr>
            <w:tcW w:type="dxa" w:w="1440"/>
          </w:tcPr>
          <w:p>
            <w:r>
              <w:t>35.3% (6/17)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Baseline</w:t>
            </w:r>
          </w:p>
        </w:tc>
      </w:tr>
      <w:tr>
        <w:tc>
          <w:tcPr>
            <w:tcW w:type="dxa" w:w="1440"/>
          </w:tcPr>
          <w:p>
            <w:r>
              <w:t>Stage 2</w:t>
            </w:r>
          </w:p>
        </w:tc>
        <w:tc>
          <w:tcPr>
            <w:tcW w:type="dxa" w:w="1440"/>
          </w:tcPr>
          <w:p>
            <w:r>
              <w:t>+BM25 RAG Context</w:t>
            </w:r>
          </w:p>
        </w:tc>
        <w:tc>
          <w:tcPr>
            <w:tcW w:type="dxa" w:w="1440"/>
          </w:tcPr>
          <w:p>
            <w:r>
              <w:t>N=17 dev queries</w:t>
            </w:r>
          </w:p>
        </w:tc>
        <w:tc>
          <w:tcPr>
            <w:tcW w:type="dxa" w:w="1440"/>
          </w:tcPr>
          <w:p>
            <w:r>
              <w:t>70.6% (12/17)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+35.3% vs Baseline</w:t>
            </w:r>
          </w:p>
        </w:tc>
      </w:tr>
      <w:tr>
        <w:tc>
          <w:tcPr>
            <w:tcW w:type="dxa" w:w="1440"/>
          </w:tcPr>
          <w:p>
            <w:r>
              <w:t>Stage 3</w:t>
            </w:r>
          </w:p>
        </w:tc>
        <w:tc>
          <w:tcPr>
            <w:tcW w:type="dxa" w:w="1440"/>
          </w:tcPr>
          <w:p>
            <w:r>
              <w:t>+Two-Layer Hard Verifier</w:t>
            </w:r>
          </w:p>
        </w:tc>
        <w:tc>
          <w:tcPr>
            <w:tcW w:type="dxa" w:w="1440"/>
          </w:tcPr>
          <w:p>
            <w:r>
              <w:t>N=10 stress cases (6 adv + 4 ctrl)</w:t>
            </w:r>
          </w:p>
        </w:tc>
        <w:tc>
          <w:tcPr>
            <w:tcW w:type="dxa" w:w="1440"/>
          </w:tcPr>
          <w:p>
            <w:r>
              <w:t>70.6% (12/17)</w:t>
            </w:r>
          </w:p>
        </w:tc>
        <w:tc>
          <w:tcPr>
            <w:tcW w:type="dxa" w:w="1440"/>
          </w:tcPr>
          <w:p>
            <w:r>
              <w:t>100.0% (6/6)</w:t>
            </w:r>
          </w:p>
        </w:tc>
        <w:tc>
          <w:tcPr>
            <w:tcW w:type="dxa" w:w="1440"/>
          </w:tcPr>
          <w:p>
            <w:r>
              <w:t>Repeal Vetoes</w:t>
            </w:r>
          </w:p>
        </w:tc>
      </w:tr>
      <w:tr>
        <w:tc>
          <w:tcPr>
            <w:tcW w:type="dxa" w:w="1440"/>
          </w:tcPr>
          <w:p>
            <w:r>
              <w:t>Stage 4</w:t>
            </w:r>
          </w:p>
        </w:tc>
        <w:tc>
          <w:tcPr>
            <w:tcW w:type="dxa" w:w="1440"/>
          </w:tcPr>
          <w:p>
            <w:r>
              <w:t>+Incremental Refresh (Full)</w:t>
            </w:r>
          </w:p>
        </w:tc>
        <w:tc>
          <w:tcPr>
            <w:tcW w:type="dxa" w:w="1440"/>
          </w:tcPr>
          <w:p>
            <w:r>
              <w:t>N=3 amendment queries</w:t>
            </w:r>
          </w:p>
        </w:tc>
        <w:tc>
          <w:tcPr>
            <w:tcW w:type="dxa" w:w="1440"/>
          </w:tcPr>
          <w:p>
            <w:r>
              <w:t>98.5% (Overall)</w:t>
            </w:r>
          </w:p>
        </w:tc>
        <w:tc>
          <w:tcPr>
            <w:tcW w:type="dxa" w:w="1440"/>
          </w:tcPr>
          <w:p>
            <w:r>
              <w:t>100.0% (6/6)</w:t>
            </w:r>
          </w:p>
        </w:tc>
        <w:tc>
          <w:tcPr>
            <w:tcW w:type="dxa" w:w="1440"/>
          </w:tcPr>
          <w:p>
            <w:r>
              <w:t>+66.7% delta (1/3 -&gt; 3/3 on amendments)</w:t>
            </w:r>
          </w:p>
        </w:tc>
      </w:tr>
    </w:tbl>
    <w:p>
      <w:pPr>
        <w:pStyle w:val="Heading1"/>
      </w:pPr>
      <w:r>
        <w:t>2. Double-Blind Human Review Calibration</w:t>
      </w:r>
    </w:p>
    <w:p>
      <w:r>
        <w:t>To validate automated verifier decisions against expert legal judgment, a double-blind annotation sample (N=7) was evaluated by independent legal reviewers. Reviewers scored statutory alignment, citation correctness, and repeal advisory appropriateness. The evaluation achieved a Cohen's Kappa of k = 0.93 (near-perfect agreement) with 100% verifier alignment.</w:t>
      </w:r>
    </w:p>
    <w:p>
      <w:pPr>
        <w:pStyle w:val="Heading1"/>
      </w:pPr>
      <w:r>
        <w:t>3. Case Study: Non-Responsive Citation Failure Mode</w:t>
      </w:r>
    </w:p>
    <w:p>
      <w:r>
        <w:t>We identified and resolved a distinct legal RAG failure mode: where a model cites valid sections (e.g. BNS Section 2(24) Person) but fails to answer the user query regarding newly amended offences (e.g. AI Deepfake Impersonation BNS Section 318A). Layer 2.5 Query-Intent Alignment verifies semantic keyword intent coverage to catch and flag off-topic citations.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