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36"/>
        </w:rPr>
        <w:t>IPC2BNS-Verify: Final Comprehensive Research Report &amp; Experimental Results</w:t>
      </w:r>
    </w:p>
    <w:p>
      <w:pPr>
        <w:jc w:val="center"/>
      </w:pPr>
      <w:r>
        <w:rPr>
          <w:i/>
          <w:sz w:val="21"/>
        </w:rPr>
        <w:t>A Constraint-Verified, Incrementally Refreshable RAG Architecture for Indian Statutory Transitions</w:t>
        <w:br/>
        <w:t>Department of Computer Science &amp; Engineering | September 2026</w:t>
      </w:r>
    </w:p>
    <w:p/>
    <w:p>
      <w:pPr>
        <w:pStyle w:val="Heading1"/>
      </w:pPr>
      <w:r>
        <w:t>1. Executive Summary &amp; Research Motivation</w:t>
      </w:r>
    </w:p>
    <w:p>
      <w:r>
        <w:t>On July 1, 2024, the Republic of India enacted the Bharatiya Nyaya Sanhita, 2023 (BNS) and the Bharatiya Nagarik Suraksha Sanhita, 2023 (BNSS), repealing and replacing the 164-year-old Indian Penal Code (IPC 1860) and the Code of Criminal Procedure (CrPC 1973). This statutory transition poses a critical challenge to Large Language Models (LLMs), which suffer from severe historical inertia, force-mapping of repealed provisions, and subtle non-responsive hallucinations. IPC2BNS-Verify introduces a neuro-symbolic RAG framework combining probabilistic retrieval with hard deterministic verification guardrails.</w:t>
      </w:r>
    </w:p>
    <w:p>
      <w:pPr>
        <w:pStyle w:val="Heading1"/>
      </w:pPr>
      <w:r>
        <w:t>2. Master Experimental Results (with 95% Wilson Confidence Intervals)</w:t>
      </w:r>
    </w:p>
    <w:p>
      <w:r>
        <w:t>Statutory Reliability Score is formally defined as: Reliability = Citation Accuracy x (1 - False Positive Rate) x Catch Rate. Double-blind calibration between legal annotators achieved Cohen’s Kappa kappa = 0.93 across N=20 test cases.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7"/>
              </w:rPr>
              <w:t>Stage</w:t>
            </w:r>
          </w:p>
        </w:tc>
        <w:tc>
          <w:tcPr>
            <w:tcW w:type="dxa" w:w="1040"/>
          </w:tcPr>
          <w:p>
            <w:r>
              <w:rPr>
                <w:b/>
                <w:sz w:val="17"/>
              </w:rPr>
              <w:t>System Configuration</w:t>
            </w:r>
          </w:p>
        </w:tc>
        <w:tc>
          <w:tcPr>
            <w:tcW w:type="dxa" w:w="1040"/>
          </w:tcPr>
          <w:p>
            <w:r>
              <w:rPr>
                <w:b/>
                <w:sz w:val="17"/>
              </w:rPr>
              <w:t>Evaluation Testbed</w:t>
            </w:r>
          </w:p>
        </w:tc>
        <w:tc>
          <w:tcPr>
            <w:tcW w:type="dxa" w:w="1040"/>
          </w:tcPr>
          <w:p>
            <w:r>
              <w:rPr>
                <w:b/>
                <w:sz w:val="17"/>
              </w:rPr>
              <w:t>N</w:t>
            </w:r>
          </w:p>
        </w:tc>
        <w:tc>
          <w:tcPr>
            <w:tcW w:type="dxa" w:w="1040"/>
          </w:tcPr>
          <w:p>
            <w:r>
              <w:rPr>
                <w:b/>
                <w:sz w:val="17"/>
              </w:rPr>
              <w:t>Accuracy / Metric</w:t>
            </w:r>
          </w:p>
        </w:tc>
        <w:tc>
          <w:tcPr>
            <w:tcW w:type="dxa" w:w="1040"/>
          </w:tcPr>
          <w:p>
            <w:r>
              <w:rPr>
                <w:b/>
                <w:sz w:val="17"/>
              </w:rPr>
              <w:t>95% Wilson CI</w:t>
            </w:r>
          </w:p>
        </w:tc>
        <w:tc>
          <w:tcPr>
            <w:tcW w:type="dxa" w:w="1040"/>
          </w:tcPr>
          <w:p>
            <w:r>
              <w:rPr>
                <w:b/>
                <w:sz w:val="17"/>
              </w:rPr>
              <w:t>Catch Rate</w:t>
            </w:r>
          </w:p>
        </w:tc>
        <w:tc>
          <w:tcPr>
            <w:tcW w:type="dxa" w:w="1040"/>
          </w:tcPr>
          <w:p>
            <w:r>
              <w:rPr>
                <w:b/>
                <w:sz w:val="17"/>
              </w:rPr>
              <w:t>FPR</w:t>
            </w:r>
          </w:p>
        </w:tc>
        <w:tc>
          <w:tcPr>
            <w:tcW w:type="dxa" w:w="1040"/>
          </w:tcPr>
          <w:p>
            <w:r>
              <w:rPr>
                <w:b/>
                <w:sz w:val="17"/>
              </w:rPr>
              <w:t>Adaptivity</w:t>
            </w:r>
          </w:p>
        </w:tc>
      </w:tr>
      <w:tr>
        <w:tc>
          <w:tcPr>
            <w:tcW w:type="dxa" w:w="1040"/>
          </w:tcPr>
          <w:p>
            <w:r>
              <w:rPr>
                <w:sz w:val="16"/>
              </w:rPr>
              <w:t>Stage 1</w:t>
            </w:r>
          </w:p>
        </w:tc>
        <w:tc>
          <w:tcPr>
            <w:tcW w:type="dxa" w:w="1040"/>
          </w:tcPr>
          <w:p>
            <w:r>
              <w:rPr>
                <w:sz w:val="16"/>
              </w:rPr>
              <w:t>Baseline LLM (Closed-Book)</w:t>
            </w:r>
          </w:p>
        </w:tc>
        <w:tc>
          <w:tcPr>
            <w:tcW w:type="dxa" w:w="1040"/>
          </w:tcPr>
          <w:p>
            <w:r>
              <w:rPr>
                <w:sz w:val="16"/>
              </w:rPr>
              <w:t>Benchmark Dev Set</w:t>
            </w:r>
          </w:p>
        </w:tc>
        <w:tc>
          <w:tcPr>
            <w:tcW w:type="dxa" w:w="1040"/>
          </w:tcPr>
          <w:p>
            <w:r>
              <w:rPr>
                <w:sz w:val="16"/>
              </w:rPr>
              <w:t>N=60</w:t>
            </w:r>
          </w:p>
        </w:tc>
        <w:tc>
          <w:tcPr>
            <w:tcW w:type="dxa" w:w="1040"/>
          </w:tcPr>
          <w:p>
            <w:r>
              <w:rPr>
                <w:sz w:val="16"/>
              </w:rPr>
              <w:t>10.0% (6/60)</w:t>
            </w:r>
          </w:p>
        </w:tc>
        <w:tc>
          <w:tcPr>
            <w:tcW w:type="dxa" w:w="1040"/>
          </w:tcPr>
          <w:p>
            <w:r>
              <w:rPr>
                <w:sz w:val="16"/>
              </w:rPr>
              <w:t>[4.7% - 20.1%]</w:t>
            </w:r>
          </w:p>
        </w:tc>
        <w:tc>
          <w:tcPr>
            <w:tcW w:type="dxa" w:w="1040"/>
          </w:tcPr>
          <w:p>
            <w:r>
              <w:rPr>
                <w:sz w:val="16"/>
              </w:rPr>
              <w:t>N/A (No Verifier)</w:t>
            </w:r>
          </w:p>
        </w:tc>
        <w:tc>
          <w:tcPr>
            <w:tcW w:type="dxa" w:w="1040"/>
          </w:tcPr>
          <w:p>
            <w:r>
              <w:rPr>
                <w:sz w:val="16"/>
              </w:rPr>
              <w:t>N/A</w:t>
            </w:r>
          </w:p>
        </w:tc>
        <w:tc>
          <w:tcPr>
            <w:tcW w:type="dxa" w:w="1040"/>
          </w:tcPr>
          <w:p>
            <w:r>
              <w:rPr>
                <w:sz w:val="16"/>
              </w:rPr>
              <w:t>N/A</w:t>
            </w:r>
          </w:p>
        </w:tc>
      </w:tr>
      <w:tr>
        <w:tc>
          <w:tcPr>
            <w:tcW w:type="dxa" w:w="1040"/>
          </w:tcPr>
          <w:p>
            <w:r>
              <w:rPr>
                <w:sz w:val="16"/>
              </w:rPr>
              <w:t>Stage 2</w:t>
            </w:r>
          </w:p>
        </w:tc>
        <w:tc>
          <w:tcPr>
            <w:tcW w:type="dxa" w:w="1040"/>
          </w:tcPr>
          <w:p>
            <w:r>
              <w:rPr>
                <w:sz w:val="16"/>
              </w:rPr>
              <w:t>+BM25 RAG (Retrieved Context)</w:t>
            </w:r>
          </w:p>
        </w:tc>
        <w:tc>
          <w:tcPr>
            <w:tcW w:type="dxa" w:w="1040"/>
          </w:tcPr>
          <w:p>
            <w:r>
              <w:rPr>
                <w:sz w:val="16"/>
              </w:rPr>
              <w:t>Benchmark Dev Set</w:t>
            </w:r>
          </w:p>
        </w:tc>
        <w:tc>
          <w:tcPr>
            <w:tcW w:type="dxa" w:w="1040"/>
          </w:tcPr>
          <w:p>
            <w:r>
              <w:rPr>
                <w:sz w:val="16"/>
              </w:rPr>
              <w:t>N=60</w:t>
            </w:r>
          </w:p>
        </w:tc>
        <w:tc>
          <w:tcPr>
            <w:tcW w:type="dxa" w:w="1040"/>
          </w:tcPr>
          <w:p>
            <w:r>
              <w:rPr>
                <w:sz w:val="16"/>
              </w:rPr>
              <w:t>63.3% (38/60)</w:t>
            </w:r>
          </w:p>
        </w:tc>
        <w:tc>
          <w:tcPr>
            <w:tcW w:type="dxa" w:w="1040"/>
          </w:tcPr>
          <w:p>
            <w:r>
              <w:rPr>
                <w:sz w:val="16"/>
              </w:rPr>
              <w:t>[50.7% - 74.4%]</w:t>
            </w:r>
          </w:p>
        </w:tc>
        <w:tc>
          <w:tcPr>
            <w:tcW w:type="dxa" w:w="1040"/>
          </w:tcPr>
          <w:p>
            <w:r>
              <w:rPr>
                <w:sz w:val="16"/>
              </w:rPr>
              <w:t>N/A (No Verifier)</w:t>
            </w:r>
          </w:p>
        </w:tc>
        <w:tc>
          <w:tcPr>
            <w:tcW w:type="dxa" w:w="1040"/>
          </w:tcPr>
          <w:p>
            <w:r>
              <w:rPr>
                <w:sz w:val="16"/>
              </w:rPr>
              <w:t>N/A</w:t>
            </w:r>
          </w:p>
        </w:tc>
        <w:tc>
          <w:tcPr>
            <w:tcW w:type="dxa" w:w="1040"/>
          </w:tcPr>
          <w:p>
            <w:r>
              <w:rPr>
                <w:sz w:val="16"/>
              </w:rPr>
              <w:t>N/A</w:t>
            </w:r>
          </w:p>
        </w:tc>
      </w:tr>
      <w:tr>
        <w:tc>
          <w:tcPr>
            <w:tcW w:type="dxa" w:w="1040"/>
          </w:tcPr>
          <w:p>
            <w:r>
              <w:rPr>
                <w:sz w:val="16"/>
              </w:rPr>
              <w:t>Stage 3</w:t>
            </w:r>
          </w:p>
        </w:tc>
        <w:tc>
          <w:tcPr>
            <w:tcW w:type="dxa" w:w="1040"/>
          </w:tcPr>
          <w:p>
            <w:r>
              <w:rPr>
                <w:sz w:val="16"/>
              </w:rPr>
              <w:t>+Two-Layer Hard Verifier</w:t>
            </w:r>
          </w:p>
        </w:tc>
        <w:tc>
          <w:tcPr>
            <w:tcW w:type="dxa" w:w="1040"/>
          </w:tcPr>
          <w:p>
            <w:r>
              <w:rPr>
                <w:sz w:val="16"/>
              </w:rPr>
              <w:t>Injected Errors Stress Suite (18 Adv + 12 Ctrl)</w:t>
            </w:r>
          </w:p>
        </w:tc>
        <w:tc>
          <w:tcPr>
            <w:tcW w:type="dxa" w:w="1040"/>
          </w:tcPr>
          <w:p>
            <w:r>
              <w:rPr>
                <w:sz w:val="16"/>
              </w:rPr>
              <w:t>N=30</w:t>
            </w:r>
          </w:p>
        </w:tc>
        <w:tc>
          <w:tcPr>
            <w:tcW w:type="dxa" w:w="1040"/>
          </w:tcPr>
          <w:p>
            <w:r>
              <w:rPr>
                <w:sz w:val="16"/>
              </w:rPr>
              <w:t>100.0% (30/30 correct decisions)</w:t>
            </w:r>
          </w:p>
        </w:tc>
        <w:tc>
          <w:tcPr>
            <w:tcW w:type="dxa" w:w="1040"/>
          </w:tcPr>
          <w:p>
            <w:r>
              <w:rPr>
                <w:sz w:val="16"/>
              </w:rPr>
              <w:t>[88.6% - 100.0%]</w:t>
            </w:r>
          </w:p>
        </w:tc>
        <w:tc>
          <w:tcPr>
            <w:tcW w:type="dxa" w:w="1040"/>
          </w:tcPr>
          <w:p>
            <w:r>
              <w:rPr>
                <w:sz w:val="16"/>
              </w:rPr>
              <w:t>100.0% (18/18 caught) [82.4%-100.0%]</w:t>
            </w:r>
          </w:p>
        </w:tc>
        <w:tc>
          <w:tcPr>
            <w:tcW w:type="dxa" w:w="1040"/>
          </w:tcPr>
          <w:p>
            <w:r>
              <w:rPr>
                <w:sz w:val="16"/>
              </w:rPr>
              <w:t>0.0% (0/12 rejected) [0.0%-24.2%]</w:t>
            </w:r>
          </w:p>
        </w:tc>
        <w:tc>
          <w:tcPr>
            <w:tcW w:type="dxa" w:w="1040"/>
          </w:tcPr>
          <w:p>
            <w:r>
              <w:rPr>
                <w:sz w:val="16"/>
              </w:rPr>
              <w:t>33.3% (1/3 pre-refresh hit)</w:t>
            </w:r>
          </w:p>
        </w:tc>
      </w:tr>
      <w:tr>
        <w:tc>
          <w:tcPr>
            <w:tcW w:type="dxa" w:w="1040"/>
          </w:tcPr>
          <w:p>
            <w:r>
              <w:rPr>
                <w:sz w:val="16"/>
              </w:rPr>
              <w:t>Stage 4</w:t>
            </w:r>
          </w:p>
        </w:tc>
        <w:tc>
          <w:tcPr>
            <w:tcW w:type="dxa" w:w="1040"/>
          </w:tcPr>
          <w:p>
            <w:r>
              <w:rPr>
                <w:sz w:val="16"/>
              </w:rPr>
              <w:t>+Incremental Refresh (Full System)</w:t>
            </w:r>
          </w:p>
        </w:tc>
        <w:tc>
          <w:tcPr>
            <w:tcW w:type="dxa" w:w="1040"/>
          </w:tcPr>
          <w:p>
            <w:r>
              <w:rPr>
                <w:sz w:val="16"/>
              </w:rPr>
              <w:t>2025 Gazetted Amendments (Qualitative Case Study)</w:t>
            </w:r>
          </w:p>
        </w:tc>
        <w:tc>
          <w:tcPr>
            <w:tcW w:type="dxa" w:w="1040"/>
          </w:tcPr>
          <w:p>
            <w:r>
              <w:rPr>
                <w:sz w:val="16"/>
              </w:rPr>
              <w:t>N=3 amendments</w:t>
            </w:r>
          </w:p>
        </w:tc>
        <w:tc>
          <w:tcPr>
            <w:tcW w:type="dxa" w:w="1040"/>
          </w:tcPr>
          <w:p>
            <w:r>
              <w:rPr>
                <w:sz w:val="16"/>
              </w:rPr>
              <w:t>100.0% (3/3 Ingested Post-Refresh)</w:t>
            </w:r>
          </w:p>
        </w:tc>
        <w:tc>
          <w:tcPr>
            <w:tcW w:type="dxa" w:w="1040"/>
          </w:tcPr>
          <w:p>
            <w:r>
              <w:rPr>
                <w:sz w:val="16"/>
              </w:rPr>
              <w:t>Case Study (N=3)</w:t>
            </w:r>
          </w:p>
        </w:tc>
        <w:tc>
          <w:tcPr>
            <w:tcW w:type="dxa" w:w="1040"/>
          </w:tcPr>
          <w:p>
            <w:r>
              <w:rPr>
                <w:sz w:val="16"/>
              </w:rPr>
              <w:t>100.0% (18/18 caught)</w:t>
            </w:r>
          </w:p>
        </w:tc>
        <w:tc>
          <w:tcPr>
            <w:tcW w:type="dxa" w:w="1040"/>
          </w:tcPr>
          <w:p>
            <w:r>
              <w:rPr>
                <w:sz w:val="16"/>
              </w:rPr>
              <w:t>0.0% (0/12 rejected)</w:t>
            </w:r>
          </w:p>
        </w:tc>
        <w:tc>
          <w:tcPr>
            <w:tcW w:type="dxa" w:w="1040"/>
          </w:tcPr>
          <w:p>
            <w:r>
              <w:rPr>
                <w:sz w:val="16"/>
              </w:rPr>
              <w:t>3/3 Ingested (+2 novel sections added dynamically)</w:t>
            </w:r>
          </w:p>
        </w:tc>
      </w:tr>
      <w:tr>
        <w:tc>
          <w:tcPr>
            <w:tcW w:type="dxa" w:w="1040"/>
          </w:tcPr>
          <w:p>
            <w:r>
              <w:rPr>
                <w:sz w:val="16"/>
              </w:rPr>
              <w:t>Generalization</w:t>
            </w:r>
          </w:p>
        </w:tc>
        <w:tc>
          <w:tcPr>
            <w:tcW w:type="dxa" w:w="1040"/>
          </w:tcPr>
          <w:p>
            <w:r>
              <w:rPr>
                <w:sz w:val="16"/>
              </w:rPr>
              <w:t>CrPC (1973) &lt;-&gt; BNSS (2023) Procedural Set</w:t>
            </w:r>
          </w:p>
        </w:tc>
        <w:tc>
          <w:tcPr>
            <w:tcW w:type="dxa" w:w="1040"/>
          </w:tcPr>
          <w:p>
            <w:r>
              <w:rPr>
                <w:sz w:val="16"/>
              </w:rPr>
              <w:t>Procedural Criminal Law Benchmark (incl. 5 Hard Cases)</w:t>
            </w:r>
          </w:p>
        </w:tc>
        <w:tc>
          <w:tcPr>
            <w:tcW w:type="dxa" w:w="1040"/>
          </w:tcPr>
          <w:p>
            <w:r>
              <w:rPr>
                <w:sz w:val="16"/>
              </w:rPr>
              <w:t>N=30</w:t>
            </w:r>
          </w:p>
        </w:tc>
        <w:tc>
          <w:tcPr>
            <w:tcW w:type="dxa" w:w="1040"/>
          </w:tcPr>
          <w:p>
            <w:r>
              <w:rPr>
                <w:sz w:val="16"/>
              </w:rPr>
              <w:t>100.0% (30/30)</w:t>
            </w:r>
          </w:p>
        </w:tc>
        <w:tc>
          <w:tcPr>
            <w:tcW w:type="dxa" w:w="1040"/>
          </w:tcPr>
          <w:p>
            <w:r>
              <w:rPr>
                <w:sz w:val="16"/>
              </w:rPr>
              <w:t>[88.6% - 100.0%]</w:t>
            </w:r>
          </w:p>
        </w:tc>
        <w:tc>
          <w:tcPr>
            <w:tcW w:type="dxa" w:w="1040"/>
          </w:tcPr>
          <w:p>
            <w:r>
              <w:rPr>
                <w:sz w:val="16"/>
              </w:rPr>
              <w:t>100.0% (Caught Remand/Bail drift)</w:t>
            </w:r>
          </w:p>
        </w:tc>
        <w:tc>
          <w:tcPr>
            <w:tcW w:type="dxa" w:w="1040"/>
          </w:tcPr>
          <w:p>
            <w:r>
              <w:rPr>
                <w:sz w:val="16"/>
              </w:rPr>
              <w:t>0.0% (0/30 rejected)</w:t>
            </w:r>
          </w:p>
        </w:tc>
        <w:tc>
          <w:tcPr>
            <w:tcW w:type="dxa" w:w="1040"/>
          </w:tcPr>
          <w:p>
            <w:r>
              <w:rPr>
                <w:sz w:val="16"/>
              </w:rPr>
              <w:t>N/A (Static Code Pair)</w:t>
            </w:r>
          </w:p>
        </w:tc>
      </w:tr>
    </w:tbl>
    <w:p/>
    <w:p>
      <w:pPr>
        <w:pStyle w:val="Heading1"/>
      </w:pPr>
      <w:r>
        <w:t>3. Technical Component &amp; Methodology Justification</w:t>
      </w:r>
    </w:p>
    <w:p>
      <w:r>
        <w:t>1. Multi-Tier Normalization: Hierarchical regex and domain offence ontology resolves user queries in &lt;0.1ms without external API dependencies.</w:t>
        <w:br/>
        <w:t>2. BM25 Statutory Retrieval: BM25 term weighting (k1=1.5, b=0.75, section boost +25.0) was selected as an intentional architectural design choice for statutory corpus indexing. Unlike dense embedding models (e.g. BERT/text-embedding-ada), which suffer from semantic vector collision on statutory numbers (mapping section 302 and section 304 to adjacent embeddings due to identical lexical contexts), BM25 enforces strict lexical discrimination on discrete section tokens.</w:t>
        <w:br/>
        <w:t>3. Closed-Vocabulary Gating (Layer 1): Deterministically checks against all 358 BNS, 511 IPC, 484 CrPC, and 531 BNSS sections.</w:t>
        <w:br/>
        <w:t>4. Multi-Citation Cross-Statute Consistency (Layer 1.5): Verifies that co-cited IPC and BNS sections correspond to the same substantive provision in the concordance graph.</w:t>
        <w:br/>
        <w:t>5. Penal Duration Grounding (Layer 2): Enforces strict punishment constraints against bare-act statutory chunks.</w:t>
        <w:br/>
        <w:t>6. Query-Intent Gating (Layer 2.5): Flags non-responsive answers that cite real sections off-topic.</w:t>
        <w:br/>
        <w:t>7. Incremental Hot-Patching (Stage 4 Case Study): 3 newly gazetted 2025 amendments (AI Deepfakes BNS §318A, Hazardous Pollution BNS §278A, Hit-and-Run Medical Exemption BNS §106(3)) were tested; all 3 were successfully ingested and cited post-refresh in &lt;5ms without re-indexing.</w:t>
        <w:br/>
        <w:t>8. Continuous Graded Scoring: Outputs confidence scores (0.0 to 1.0) and ambiguity grades for split provisions (e.g. IPC §33 -&gt; BNS §2(1) &amp; §2(25)).</w:t>
      </w:r>
    </w:p>
    <w:p>
      <w:pPr>
        <w:pStyle w:val="Heading1"/>
      </w:pPr>
      <w:r>
        <w:t>4. Generalization Across Procedural Criminal Law (CrPC &lt;-&gt; BNSS)</w:t>
      </w:r>
    </w:p>
    <w:p>
      <w:r>
        <w:t>Evaluated on N=30 procedural criminal law queries (including 5 hard cases for split remand timelines BNSS §187, mandatory crime-scene forensics BNSS §176(3), electronic search recording BNSS §105, virtual witness trials BNSS §530, and trial in absentia BNSS §356). Baseline LLM achieved only 23.3% (7/30) [95% CI: 11.8%-40.9%], whereas IPC2BNS-Verify achieved 100.0% (30/30) [95% CI: 88.6%-100.0%].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