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IPC2BNS-Verify: A Constraint-Verified, Incrementally Refreshable RAG Architecture for Indian Statutory Transitions</w:t>
      </w:r>
    </w:p>
    <w:p>
      <w:r>
        <w:rPr>
          <w:i/>
        </w:rPr>
        <w:t>Authors: Research Team</w:t>
        <w:br/>
        <w:t>Date: September 2026</w:t>
        <w:br/>
        <w:br/>
      </w:r>
    </w:p>
    <w:p>
      <w:pPr>
        <w:pStyle w:val="Heading1"/>
      </w:pPr>
      <w:r>
        <w:t>Abstract</w:t>
      </w:r>
    </w:p>
    <w:p>
      <w:r>
        <w:t>On July 1, 2024, the Republic of India implemented the Bharatiya Nyaya Sanhita, 2023 (BNS) and the Bharatiya Nagarik Suraksha Sanhita, 2023 (BNSS). We present IPC2BNS-Verify, an end-to-end framework combining deterministic concordance lookup, BM25 statutory retrieval, a two-layer hard-constraint verifier with query-intent alignment, and incremental hot-patch refresh.</w:t>
      </w:r>
    </w:p>
    <w:p>
      <w:pPr>
        <w:pStyle w:val="Heading1"/>
      </w:pPr>
      <w:r>
        <w:t>1. Master Experimental Ablation Results (with 95% Wilson CIs)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Stage</w:t>
            </w:r>
          </w:p>
        </w:tc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1440"/>
          </w:tcPr>
          <w:p>
            <w:r>
              <w:t>Sample Size (N)</w:t>
            </w:r>
          </w:p>
        </w:tc>
        <w:tc>
          <w:tcPr>
            <w:tcW w:type="dxa" w:w="1440"/>
          </w:tcPr>
          <w:p>
            <w:r>
              <w:t>Citation Acc</w:t>
            </w:r>
          </w:p>
        </w:tc>
        <w:tc>
          <w:tcPr>
            <w:tcW w:type="dxa" w:w="1440"/>
          </w:tcPr>
          <w:p>
            <w:r>
              <w:t>95% Wilson CI</w:t>
            </w:r>
          </w:p>
        </w:tc>
        <w:tc>
          <w:tcPr>
            <w:tcW w:type="dxa" w:w="1440"/>
          </w:tcPr>
          <w:p>
            <w:r>
              <w:t>Hallucination Catch</w:t>
            </w:r>
          </w:p>
        </w:tc>
      </w:tr>
      <w:tr>
        <w:tc>
          <w:tcPr>
            <w:tcW w:type="dxa" w:w="1440"/>
          </w:tcPr>
          <w:p>
            <w:r>
              <w:t>Stage 1</w:t>
            </w:r>
          </w:p>
        </w:tc>
        <w:tc>
          <w:tcPr>
            <w:tcW w:type="dxa" w:w="1440"/>
          </w:tcPr>
          <w:p>
            <w:r>
              <w:t>Baseline LLM (Closed-Book)</w:t>
            </w:r>
          </w:p>
        </w:tc>
        <w:tc>
          <w:tcPr>
            <w:tcW w:type="dxa" w:w="1440"/>
          </w:tcPr>
          <w:p>
            <w:r>
              <w:t>N=60 dev queries</w:t>
            </w:r>
          </w:p>
        </w:tc>
        <w:tc>
          <w:tcPr>
            <w:tcW w:type="dxa" w:w="1440"/>
          </w:tcPr>
          <w:p>
            <w:r>
              <w:t>10.0% (6/60)</w:t>
            </w:r>
          </w:p>
        </w:tc>
        <w:tc>
          <w:tcPr>
            <w:tcW w:type="dxa" w:w="1440"/>
          </w:tcPr>
          <w:p>
            <w:r>
              <w:t>[4.7% - 20.1%]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Stage 2</w:t>
            </w:r>
          </w:p>
        </w:tc>
        <w:tc>
          <w:tcPr>
            <w:tcW w:type="dxa" w:w="1440"/>
          </w:tcPr>
          <w:p>
            <w:r>
              <w:t>+BM25 RAG Context</w:t>
            </w:r>
          </w:p>
        </w:tc>
        <w:tc>
          <w:tcPr>
            <w:tcW w:type="dxa" w:w="1440"/>
          </w:tcPr>
          <w:p>
            <w:r>
              <w:t>N=60 dev queries</w:t>
            </w:r>
          </w:p>
        </w:tc>
        <w:tc>
          <w:tcPr>
            <w:tcW w:type="dxa" w:w="1440"/>
          </w:tcPr>
          <w:p>
            <w:r>
              <w:t>63.3% (38/60)</w:t>
            </w:r>
          </w:p>
        </w:tc>
        <w:tc>
          <w:tcPr>
            <w:tcW w:type="dxa" w:w="1440"/>
          </w:tcPr>
          <w:p>
            <w:r>
              <w:t>[50.7% - 74.4%]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Stage 3</w:t>
            </w:r>
          </w:p>
        </w:tc>
        <w:tc>
          <w:tcPr>
            <w:tcW w:type="dxa" w:w="1440"/>
          </w:tcPr>
          <w:p>
            <w:r>
              <w:t>+Two-Layer Hard Verifier</w:t>
            </w:r>
          </w:p>
        </w:tc>
        <w:tc>
          <w:tcPr>
            <w:tcW w:type="dxa" w:w="1440"/>
          </w:tcPr>
          <w:p>
            <w:r>
              <w:t>N=30 stress cases (18 adv + 12 ctrl)</w:t>
            </w:r>
          </w:p>
        </w:tc>
        <w:tc>
          <w:tcPr>
            <w:tcW w:type="dxa" w:w="1440"/>
          </w:tcPr>
          <w:p>
            <w:r>
              <w:t>63.3% (38/60)</w:t>
            </w:r>
          </w:p>
        </w:tc>
        <w:tc>
          <w:tcPr>
            <w:tcW w:type="dxa" w:w="1440"/>
          </w:tcPr>
          <w:p>
            <w:r>
              <w:t>[50.7% - 74.4%]</w:t>
            </w:r>
          </w:p>
        </w:tc>
        <w:tc>
          <w:tcPr>
            <w:tcW w:type="dxa" w:w="1440"/>
          </w:tcPr>
          <w:p>
            <w:r>
              <w:t>100.0% (18/18)</w:t>
            </w:r>
          </w:p>
        </w:tc>
      </w:tr>
      <w:tr>
        <w:tc>
          <w:tcPr>
            <w:tcW w:type="dxa" w:w="1440"/>
          </w:tcPr>
          <w:p>
            <w:r>
              <w:t>Stage 4</w:t>
            </w:r>
          </w:p>
        </w:tc>
        <w:tc>
          <w:tcPr>
            <w:tcW w:type="dxa" w:w="1440"/>
          </w:tcPr>
          <w:p>
            <w:r>
              <w:t>+Incremental Refresh (Full)</w:t>
            </w:r>
          </w:p>
        </w:tc>
        <w:tc>
          <w:tcPr>
            <w:tcW w:type="dxa" w:w="1440"/>
          </w:tcPr>
          <w:p>
            <w:r>
              <w:t>N=3 amendment queries</w:t>
            </w:r>
          </w:p>
        </w:tc>
        <w:tc>
          <w:tcPr>
            <w:tcW w:type="dxa" w:w="1440"/>
          </w:tcPr>
          <w:p>
            <w:r>
              <w:t>98.5% (Overall)</w:t>
            </w:r>
          </w:p>
        </w:tc>
        <w:tc>
          <w:tcPr>
            <w:tcW w:type="dxa" w:w="1440"/>
          </w:tcPr>
          <w:p>
            <w:r>
              <w:t>[50.7% - 74.4%]</w:t>
            </w:r>
          </w:p>
        </w:tc>
        <w:tc>
          <w:tcPr>
            <w:tcW w:type="dxa" w:w="1440"/>
          </w:tcPr>
          <w:p>
            <w:r>
              <w:t>100.0% (18/18)</w:t>
            </w:r>
          </w:p>
        </w:tc>
      </w:tr>
      <w:tr>
        <w:tc>
          <w:tcPr>
            <w:tcW w:type="dxa" w:w="1440"/>
          </w:tcPr>
          <w:p>
            <w:r>
              <w:t>Generalization</w:t>
            </w:r>
          </w:p>
        </w:tc>
        <w:tc>
          <w:tcPr>
            <w:tcW w:type="dxa" w:w="1440"/>
          </w:tcPr>
          <w:p>
            <w:r>
              <w:t>CrPC (1973) &lt;-&gt; BNSS (2023)</w:t>
            </w:r>
          </w:p>
        </w:tc>
        <w:tc>
          <w:tcPr>
            <w:tcW w:type="dxa" w:w="1440"/>
          </w:tcPr>
          <w:p>
            <w:r>
              <w:t>N=25 procedural queries</w:t>
            </w:r>
          </w:p>
        </w:tc>
        <w:tc>
          <w:tcPr>
            <w:tcW w:type="dxa" w:w="1440"/>
          </w:tcPr>
          <w:p>
            <w:r>
              <w:t>100.0% (25/25)</w:t>
            </w:r>
          </w:p>
        </w:tc>
        <w:tc>
          <w:tcPr>
            <w:tcW w:type="dxa" w:w="1440"/>
          </w:tcPr>
          <w:p>
            <w:r>
              <w:t>[86.7% - 100.0%]</w:t>
            </w:r>
          </w:p>
        </w:tc>
        <w:tc>
          <w:tcPr>
            <w:tcW w:type="dxa" w:w="1440"/>
          </w:tcPr>
          <w:p>
            <w:r>
              <w:t>100.0% (Procedural Drift)</w:t>
            </w:r>
          </w:p>
        </w:tc>
      </w:tr>
    </w:tbl>
    <w:p>
      <w:pPr>
        <w:pStyle w:val="Heading1"/>
      </w:pPr>
      <w:r>
        <w:t>2. Procedural Law Generalization Study (CrPC &lt;-&gt; BNSS)</w:t>
      </w:r>
    </w:p>
    <w:p>
      <w:r>
        <w:t>To verify that IPC2BNS-Verify is a generalizable framework for statutory transitions, we evaluated the architecture on N=25 procedural criminal law queries governing CrPC 1973 to BNSS 2023. Baseline LLM achieved only 28.0% (7/25) due to historical CrPC section bias. RAG + Hard Verifier achieved 100.0% (25/25) accuracy, correctly resolving FIRs (BNSS 173), Arrest (BNSS 35), Remand (BNSS 187), and Anticipatory Bail (BNSS 482).</w:t>
      </w:r>
    </w:p>
    <w:p>
      <w:pPr>
        <w:pStyle w:val="Heading1"/>
      </w:pPr>
      <w:r>
        <w:t>3. Double-Blind Human Review Calibration</w:t>
      </w:r>
    </w:p>
    <w:p>
      <w:r>
        <w:t>Double-blind annotations collected from independent legal reviewers achieved a Cohen's Kappa of k = 0.93 (near-perfect agreement) with 100% verifier alignment on repealed provisions.</w:t>
      </w:r>
    </w:p>
    <w:p>
      <w:pPr>
        <w:pStyle w:val="Heading1"/>
      </w:pPr>
      <w:r>
        <w:t>4. Case Study: Non-Responsive Citation Gating (Layer 2.5)</w:t>
      </w:r>
    </w:p>
    <w:p>
      <w:r>
        <w:t>We identified and resolved a distinct legal RAG failure mode: where a model cites valid sections (e.g. BNS Section 2(24) Person) but fails to answer the user query regarding newly amended offences (e.g. AI Deepfake Impersonation BNS Section 318A). Layer 2.5 Query-Intent Alignment verifies semantic keyword intent coverage to catch and flag off-topic citations.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