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15740"/>
          <w:sz w:val="48"/>
        </w:rPr>
        <w:t>GRIFFIN</w:t>
      </w:r>
    </w:p>
    <w:p>
      <w:pPr>
        <w:spacing w:after="120"/>
        <w:jc w:val="center"/>
      </w:pPr>
      <w:r>
        <w:rPr>
          <w:rFonts w:ascii="Calibri" w:hAnsi="Calibri"/>
          <w:color w:val="C99700"/>
          <w:sz w:val="22"/>
        </w:rPr>
        <w:t>Q&amp;A Prep Card  |  Board &amp; Client Defense</w:t>
      </w:r>
    </w:p>
    <w:p>
      <w:pPr>
        <w:spacing w:after="120"/>
        <w:jc w:val="center"/>
      </w:pPr>
      <w:r>
        <w:rPr>
          <w:color w:val="C99700"/>
          <w:sz w:val="16"/>
        </w:rPr>
        <w:t>____________________________________________________________</w:t>
      </w:r>
    </w:p>
    <w:p>
      <w:pPr>
        <w:spacing w:before="80" w:after="80"/>
      </w:pPr>
      <w:r>
        <w:rPr>
          <w:rFonts w:ascii="Calibri" w:hAnsi="Calibri"/>
          <w:b/>
          <w:color w:val="115740"/>
          <w:sz w:val="26"/>
        </w:rPr>
        <w:t>The Core Framing (if your mind goes blank)</w:t>
      </w:r>
    </w:p>
    <w:p>
      <w:pPr>
        <w:spacing w:before="40" w:after="80"/>
      </w:pPr>
      <w:r>
        <w:rPr>
          <w:rFonts w:ascii="Calibri" w:hAnsi="Calibri"/>
          <w:i/>
          <w:color w:val="2D2D2D"/>
          <w:sz w:val="21"/>
        </w:rPr>
        <w:t>Claude Code, Projects, and Gems are builder's tools and exploration tools. GRIFFIN is a purpose-built operational tool for a team. We used the nail gun to build the house. We are not handing the nail gun to the homeowner and calling it a house.</w:t>
      </w:r>
    </w:p>
    <w:p>
      <w:pPr>
        <w:spacing w:before="200" w:after="80"/>
      </w:pPr>
      <w:r>
        <w:rPr>
          <w:rFonts w:ascii="Calibri" w:hAnsi="Calibri"/>
          <w:b/>
          <w:color w:val="115740"/>
          <w:sz w:val="26"/>
        </w:rPr>
        <w:t>Three Anticipated Questions -- Quick Answers</w:t>
      </w:r>
    </w:p>
    <w:p>
      <w:pPr>
        <w:spacing w:before="40" w:after="40"/>
      </w:pPr>
      <w:r>
        <w:rPr>
          <w:rFonts w:ascii="Calibri" w:hAnsi="Calibri"/>
          <w:b/>
          <w:color w:val="C99700"/>
          <w:sz w:val="21"/>
        </w:rPr>
        <w:t xml:space="preserve">Q1. </w:t>
      </w:r>
      <w:r>
        <w:rPr>
          <w:rFonts w:ascii="Calibri" w:hAnsi="Calibri"/>
          <w:color w:val="2D2D2D"/>
          <w:sz w:val="21"/>
        </w:rPr>
        <w:t>Why not a Gemini Gem / Claude Project / ChatGPT Custom GPT?</w:t>
      </w:r>
    </w:p>
    <w:p>
      <w:pPr>
        <w:spacing w:before="40" w:after="80"/>
      </w:pPr>
      <w:r>
        <w:rPr>
          <w:rFonts w:ascii="Calibri" w:hAnsi="Calibri"/>
          <w:color w:val="555555"/>
          <w:sz w:val="19"/>
        </w:rPr>
        <w:t>TL;DR: A Gem is pure LLM -- no statistical ML model, no consistent structured output, no PII censoring pipeline, no centralized cost control, no training on your data. It works for a single analyst doing ad-hoc research. It does not scale to a team running audit-grade classification.</w:t>
      </w:r>
    </w:p>
    <w:p>
      <w:pPr>
        <w:spacing w:before="40" w:after="40"/>
      </w:pPr>
      <w:r>
        <w:rPr>
          <w:rFonts w:ascii="Calibri" w:hAnsi="Calibri"/>
          <w:b/>
          <w:color w:val="C99700"/>
          <w:sz w:val="21"/>
        </w:rPr>
        <w:t xml:space="preserve">Q2. </w:t>
      </w:r>
      <w:r>
        <w:rPr>
          <w:rFonts w:ascii="Calibri" w:hAnsi="Calibri"/>
          <w:color w:val="2D2D2D"/>
          <w:sz w:val="21"/>
        </w:rPr>
        <w:t>Why not Claude Code / Cowork / Dispatch? You used it to build this.</w:t>
      </w:r>
    </w:p>
    <w:p>
      <w:pPr>
        <w:spacing w:before="40" w:after="80"/>
      </w:pPr>
      <w:r>
        <w:rPr>
          <w:rFonts w:ascii="Calibri" w:hAnsi="Calibri"/>
          <w:color w:val="555555"/>
          <w:sz w:val="19"/>
        </w:rPr>
        <w:t>TL;DR: Claude Code is a builder's tool -- single user, developer interface, variable output, premium API cost. We used it to construct GRIFFIN. You do not hand the contractor's nail gun to the homeowner and call it a house. Different tools for different audiences, doing different jobs in different phases.</w:t>
      </w:r>
    </w:p>
    <w:p>
      <w:pPr>
        <w:spacing w:before="40" w:after="40"/>
      </w:pPr>
      <w:r>
        <w:rPr>
          <w:rFonts w:ascii="Calibri" w:hAnsi="Calibri"/>
          <w:b/>
          <w:color w:val="C99700"/>
          <w:sz w:val="21"/>
        </w:rPr>
        <w:t xml:space="preserve">Q3. </w:t>
      </w:r>
      <w:r>
        <w:rPr>
          <w:rFonts w:ascii="Calibri" w:hAnsi="Calibri"/>
          <w:color w:val="2D2D2D"/>
          <w:sz w:val="21"/>
        </w:rPr>
        <w:t>But what about enterprise Claude with privacy controls plus a shared Project?</w:t>
      </w:r>
    </w:p>
    <w:p>
      <w:pPr>
        <w:spacing w:before="40" w:after="80"/>
      </w:pPr>
      <w:r>
        <w:rPr>
          <w:rFonts w:ascii="Calibri" w:hAnsi="Calibri"/>
          <w:color w:val="555555"/>
          <w:sz w:val="19"/>
        </w:rPr>
        <w:t>TL;DR: This genuinely closes the data privacy, persistence, and admin-audit concerns -- I concede those. Five things still do not collapse: (1) no statistical ML layer, (2) no deterministic reproducibility, (3) about 30x cost per classification, (4) chat UI instead of purpose-built click-to-classify, (5) no vendor independence -- your institutional knowledge gets trapped in Anthropic's product roadmap.</w:t>
      </w:r>
    </w:p>
    <w:p>
      <w:pPr>
        <w:spacing w:before="200" w:after="80"/>
      </w:pPr>
      <w:r>
        <w:rPr>
          <w:rFonts w:ascii="Calibri" w:hAnsi="Calibri"/>
          <w:b/>
          <w:color w:val="115740"/>
          <w:sz w:val="26"/>
        </w:rPr>
        <w:t>Anchor Analogies (use one, walk away)</w:t>
      </w:r>
    </w:p>
    <w:p>
      <w:pPr>
        <w:spacing w:before="40" w:after="80"/>
      </w:pPr>
      <w:r>
        <w:rPr>
          <w:rFonts w:ascii="Calibri" w:hAnsi="Calibri"/>
          <w:color w:val="2D2D2D"/>
          <w:sz w:val="20"/>
        </w:rPr>
        <w:t>AutoCAD to Office Building: We used AutoCAD to design this building. We are not giving HR AutoCAD and saying here is your office. We used the tool to produce the space. The space is the product. The tool was how we got there.</w:t>
      </w:r>
    </w:p>
    <w:p>
      <w:pPr>
        <w:spacing w:before="40" w:after="80"/>
      </w:pPr>
      <w:r>
        <w:rPr>
          <w:rFonts w:ascii="Calibri" w:hAnsi="Calibri"/>
          <w:color w:val="2D2D2D"/>
          <w:sz w:val="20"/>
        </w:rPr>
        <w:t>Nail Gun to House: Claude Code is the nail gun. GRIFFIN is the house. Different artifacts, different audiences, different phases of the lifecycle.</w:t>
      </w:r>
    </w:p>
    <w:p>
      <w:pPr>
        <w:spacing w:before="40" w:after="80"/>
      </w:pPr>
      <w:r>
        <w:rPr>
          <w:rFonts w:ascii="Calibri" w:hAnsi="Calibri"/>
          <w:color w:val="2D2D2D"/>
          <w:sz w:val="20"/>
        </w:rPr>
        <w:t>Vendor-Lock: Every university has a story about a critical system built on a vendor that got acquired, deprecated, or repriced. GRIFFIN's training data and model weights are yours forever. A Claude Project is your institutional knowledge trapped in Anthropic's roadmap.</w:t>
      </w:r>
    </w:p>
    <w:p>
      <w:r>
        <w:br w:type="page"/>
      </w:r>
    </w:p>
    <w:p>
      <w:pPr>
        <w:spacing w:before="0" w:after="80"/>
      </w:pPr>
      <w:r>
        <w:rPr>
          <w:rFonts w:ascii="Calibri" w:hAnsi="Calibri"/>
          <w:b/>
          <w:color w:val="115740"/>
          <w:sz w:val="28"/>
        </w:rPr>
        <w:t>Trade-Off Table -- Enterprise Claude Project vs GRIFFIN</w:t>
      </w:r>
    </w:p>
    <w:p>
      <w:pPr>
        <w:spacing w:before="40" w:after="160"/>
      </w:pPr>
      <w:r>
        <w:rPr>
          <w:rFonts w:ascii="Calibri" w:hAnsi="Calibri"/>
          <w:i/>
          <w:color w:val="555555"/>
          <w:sz w:val="18"/>
        </w:rPr>
        <w:t>This is the honest side-by-side. Show this if the conversation goes deep. Concede the checkmarks on the Claude side; anchor on the X marks where GRIFFIN is structurally unique.</w:t>
      </w:r>
    </w:p>
    <w:tbl>
      <w:tblPr>
        <w:tblStyle w:val="TableGrid"/>
        <w:tblW w:type="auto" w:w="0"/>
        <w:jc w:val="center"/>
        <w:tblLook w:firstColumn="1" w:firstRow="1" w:lastColumn="0" w:lastRow="0" w:noHBand="0" w:noVBand="1" w:val="04A0"/>
      </w:tblPr>
      <w:tblGrid>
        <w:gridCol w:w="3400"/>
        <w:gridCol w:w="3400"/>
        <w:gridCol w:w="3400"/>
      </w:tblGrid>
      <w:tr>
        <w:tc>
          <w:tcPr>
            <w:tcW w:type="dxa" w:w="3118"/>
            <w:shd w:val="clear" w:color="auto" w:fill="115740"/>
          </w:tcPr>
          <w:p>
            <w:pPr>
              <w:jc w:val="center"/>
            </w:pPr>
            <w:r/>
            <w:r>
              <w:rPr>
                <w:rFonts w:ascii="Calibri" w:hAnsi="Calibri"/>
                <w:b/>
                <w:color w:val="FFFFFF"/>
                <w:sz w:val="20"/>
              </w:rPr>
              <w:t>Consideration</w:t>
            </w:r>
          </w:p>
        </w:tc>
        <w:tc>
          <w:tcPr>
            <w:tcW w:type="dxa" w:w="3118"/>
            <w:shd w:val="clear" w:color="auto" w:fill="115740"/>
          </w:tcPr>
          <w:p>
            <w:pPr>
              <w:jc w:val="center"/>
            </w:pPr>
            <w:r/>
            <w:r>
              <w:rPr>
                <w:rFonts w:ascii="Calibri" w:hAnsi="Calibri"/>
                <w:b/>
                <w:color w:val="FFFFFF"/>
                <w:sz w:val="20"/>
              </w:rPr>
              <w:t>Enterprise Claude Project</w:t>
            </w:r>
          </w:p>
        </w:tc>
        <w:tc>
          <w:tcPr>
            <w:tcW w:type="dxa" w:w="3118"/>
            <w:shd w:val="clear" w:color="auto" w:fill="115740"/>
          </w:tcPr>
          <w:p>
            <w:pPr>
              <w:jc w:val="center"/>
            </w:pPr>
            <w:r/>
            <w:r>
              <w:rPr>
                <w:rFonts w:ascii="Calibri" w:hAnsi="Calibri"/>
                <w:b/>
                <w:color w:val="FFFFFF"/>
                <w:sz w:val="20"/>
              </w:rPr>
              <w:t>GRIFFIN</w:t>
            </w:r>
          </w:p>
        </w:tc>
      </w:tr>
      <w:tr>
        <w:tc>
          <w:tcPr>
            <w:tcW w:type="dxa" w:w="3118"/>
            <w:shd w:val="clear" w:color="auto" w:fill="F7F4EE"/>
          </w:tcPr>
          <w:p>
            <w:r/>
            <w:r>
              <w:rPr>
                <w:rFonts w:ascii="Calibri" w:hAnsi="Calibri"/>
                <w:b/>
                <w:color w:val="115740"/>
                <w:sz w:val="19"/>
              </w:rPr>
              <w:t>Data privacy</w:t>
            </w:r>
          </w:p>
        </w:tc>
        <w:tc>
          <w:tcPr>
            <w:tcW w:type="dxa" w:w="3118"/>
            <w:shd w:val="clear" w:color="auto" w:fill="F7F4EE"/>
          </w:tcPr>
          <w:p>
            <w:r/>
            <w:r>
              <w:rPr>
                <w:rFonts w:ascii="Calibri" w:hAnsi="Calibri"/>
                <w:color w:val="2D2D2D"/>
                <w:sz w:val="19"/>
              </w:rPr>
              <w:t>Solved via DPA</w:t>
            </w:r>
          </w:p>
        </w:tc>
        <w:tc>
          <w:tcPr>
            <w:tcW w:type="dxa" w:w="3118"/>
            <w:shd w:val="clear" w:color="auto" w:fill="F7F4EE"/>
          </w:tcPr>
          <w:p>
            <w:r/>
            <w:r>
              <w:rPr>
                <w:rFonts w:ascii="Calibri" w:hAnsi="Calibri"/>
                <w:color w:val="115740"/>
                <w:sz w:val="19"/>
              </w:rPr>
              <w:t>PII censoring + Gemini enterprise</w:t>
            </w:r>
          </w:p>
        </w:tc>
      </w:tr>
      <w:tr>
        <w:tc>
          <w:tcPr>
            <w:tcW w:type="dxa" w:w="3118"/>
          </w:tcPr>
          <w:p>
            <w:r/>
            <w:r>
              <w:rPr>
                <w:rFonts w:ascii="Calibri" w:hAnsi="Calibri"/>
                <w:b/>
                <w:color w:val="115740"/>
                <w:sz w:val="19"/>
              </w:rPr>
              <w:t>Team access + continuity</w:t>
            </w:r>
          </w:p>
        </w:tc>
        <w:tc>
          <w:tcPr>
            <w:tcW w:type="dxa" w:w="3118"/>
          </w:tcPr>
          <w:p>
            <w:r/>
            <w:r>
              <w:rPr>
                <w:rFonts w:ascii="Calibri" w:hAnsi="Calibri"/>
                <w:color w:val="2D2D2D"/>
                <w:sz w:val="19"/>
              </w:rPr>
              <w:t>Solved (Project + admin)</w:t>
            </w:r>
          </w:p>
        </w:tc>
        <w:tc>
          <w:tcPr>
            <w:tcW w:type="dxa" w:w="3118"/>
          </w:tcPr>
          <w:p>
            <w:r/>
            <w:r>
              <w:rPr>
                <w:rFonts w:ascii="Calibri" w:hAnsi="Calibri"/>
                <w:color w:val="115740"/>
                <w:sz w:val="19"/>
              </w:rPr>
              <w:t>Shared deployment</w:t>
            </w:r>
          </w:p>
        </w:tc>
      </w:tr>
      <w:tr>
        <w:tc>
          <w:tcPr>
            <w:tcW w:type="dxa" w:w="3118"/>
            <w:shd w:val="clear" w:color="auto" w:fill="F7F4EE"/>
          </w:tcPr>
          <w:p>
            <w:r/>
            <w:r>
              <w:rPr>
                <w:rFonts w:ascii="Calibri" w:hAnsi="Calibri"/>
                <w:b/>
                <w:color w:val="115740"/>
                <w:sz w:val="19"/>
              </w:rPr>
              <w:t>Persistence across sessions</w:t>
            </w:r>
          </w:p>
        </w:tc>
        <w:tc>
          <w:tcPr>
            <w:tcW w:type="dxa" w:w="3118"/>
            <w:shd w:val="clear" w:color="auto" w:fill="F7F4EE"/>
          </w:tcPr>
          <w:p>
            <w:r/>
            <w:r>
              <w:rPr>
                <w:rFonts w:ascii="Calibri" w:hAnsi="Calibri"/>
                <w:color w:val="2D2D2D"/>
                <w:sz w:val="19"/>
              </w:rPr>
              <w:t>Solved</w:t>
            </w:r>
          </w:p>
        </w:tc>
        <w:tc>
          <w:tcPr>
            <w:tcW w:type="dxa" w:w="3118"/>
            <w:shd w:val="clear" w:color="auto" w:fill="F7F4EE"/>
          </w:tcPr>
          <w:p>
            <w:r/>
            <w:r>
              <w:rPr>
                <w:rFonts w:ascii="Calibri" w:hAnsi="Calibri"/>
                <w:color w:val="115740"/>
                <w:sz w:val="19"/>
              </w:rPr>
              <w:t>Reference data + model weights</w:t>
            </w:r>
          </w:p>
        </w:tc>
      </w:tr>
      <w:tr>
        <w:tc>
          <w:tcPr>
            <w:tcW w:type="dxa" w:w="3118"/>
          </w:tcPr>
          <w:p>
            <w:r/>
            <w:r>
              <w:rPr>
                <w:rFonts w:ascii="Calibri" w:hAnsi="Calibri"/>
                <w:b/>
                <w:color w:val="115740"/>
                <w:sz w:val="19"/>
              </w:rPr>
              <w:t>Statistical ML layer</w:t>
            </w:r>
          </w:p>
        </w:tc>
        <w:tc>
          <w:tcPr>
            <w:tcW w:type="dxa" w:w="3118"/>
          </w:tcPr>
          <w:p>
            <w:r/>
            <w:r>
              <w:rPr>
                <w:rFonts w:ascii="Calibri" w:hAnsi="Calibri"/>
                <w:color w:val="B03A2E"/>
                <w:sz w:val="19"/>
              </w:rPr>
              <w:t>NOT POSSIBLE</w:t>
            </w:r>
          </w:p>
        </w:tc>
        <w:tc>
          <w:tcPr>
            <w:tcW w:type="dxa" w:w="3118"/>
          </w:tcPr>
          <w:p>
            <w:r/>
            <w:r>
              <w:rPr>
                <w:rFonts w:ascii="Calibri" w:hAnsi="Calibri"/>
                <w:color w:val="115740"/>
                <w:sz w:val="19"/>
              </w:rPr>
              <w:t>Core architecture</w:t>
            </w:r>
          </w:p>
        </w:tc>
      </w:tr>
      <w:tr>
        <w:tc>
          <w:tcPr>
            <w:tcW w:type="dxa" w:w="3118"/>
            <w:shd w:val="clear" w:color="auto" w:fill="F7F4EE"/>
          </w:tcPr>
          <w:p>
            <w:r/>
            <w:r>
              <w:rPr>
                <w:rFonts w:ascii="Calibri" w:hAnsi="Calibri"/>
                <w:b/>
                <w:color w:val="115740"/>
                <w:sz w:val="19"/>
              </w:rPr>
              <w:t>Deterministic output</w:t>
            </w:r>
          </w:p>
        </w:tc>
        <w:tc>
          <w:tcPr>
            <w:tcW w:type="dxa" w:w="3118"/>
            <w:shd w:val="clear" w:color="auto" w:fill="F7F4EE"/>
          </w:tcPr>
          <w:p>
            <w:r/>
            <w:r>
              <w:rPr>
                <w:rFonts w:ascii="Calibri" w:hAnsi="Calibri"/>
                <w:color w:val="B03A2E"/>
                <w:sz w:val="19"/>
              </w:rPr>
              <w:t>LLM variance</w:t>
            </w:r>
          </w:p>
        </w:tc>
        <w:tc>
          <w:tcPr>
            <w:tcW w:type="dxa" w:w="3118"/>
            <w:shd w:val="clear" w:color="auto" w:fill="F7F4EE"/>
          </w:tcPr>
          <w:p>
            <w:r/>
            <w:r>
              <w:rPr>
                <w:rFonts w:ascii="Calibri" w:hAnsi="Calibri"/>
                <w:color w:val="115740"/>
                <w:sz w:val="19"/>
              </w:rPr>
              <w:t>sklearn is deterministic</w:t>
            </w:r>
          </w:p>
        </w:tc>
      </w:tr>
      <w:tr>
        <w:tc>
          <w:tcPr>
            <w:tcW w:type="dxa" w:w="3118"/>
          </w:tcPr>
          <w:p>
            <w:r/>
            <w:r>
              <w:rPr>
                <w:rFonts w:ascii="Calibri" w:hAnsi="Calibri"/>
                <w:b/>
                <w:color w:val="115740"/>
                <w:sz w:val="19"/>
              </w:rPr>
              <w:t>Cost per classification</w:t>
            </w:r>
          </w:p>
        </w:tc>
        <w:tc>
          <w:tcPr>
            <w:tcW w:type="dxa" w:w="3118"/>
          </w:tcPr>
          <w:p>
            <w:r/>
            <w:r>
              <w:rPr>
                <w:rFonts w:ascii="Calibri" w:hAnsi="Calibri"/>
                <w:color w:val="2D2D2D"/>
                <w:sz w:val="19"/>
              </w:rPr>
              <w:t>$0.30 - $1.50</w:t>
            </w:r>
          </w:p>
        </w:tc>
        <w:tc>
          <w:tcPr>
            <w:tcW w:type="dxa" w:w="3118"/>
          </w:tcPr>
          <w:p>
            <w:r/>
            <w:r>
              <w:rPr>
                <w:rFonts w:ascii="Calibri" w:hAnsi="Calibri"/>
                <w:color w:val="115740"/>
                <w:sz w:val="19"/>
              </w:rPr>
              <w:t>$0.00 - $0.05</w:t>
            </w:r>
          </w:p>
        </w:tc>
      </w:tr>
      <w:tr>
        <w:tc>
          <w:tcPr>
            <w:tcW w:type="dxa" w:w="3118"/>
            <w:shd w:val="clear" w:color="auto" w:fill="F7F4EE"/>
          </w:tcPr>
          <w:p>
            <w:r/>
            <w:r>
              <w:rPr>
                <w:rFonts w:ascii="Calibri" w:hAnsi="Calibri"/>
                <w:b/>
                <w:color w:val="115740"/>
                <w:sz w:val="19"/>
              </w:rPr>
              <w:t>Purpose-built UI</w:t>
            </w:r>
          </w:p>
        </w:tc>
        <w:tc>
          <w:tcPr>
            <w:tcW w:type="dxa" w:w="3118"/>
            <w:shd w:val="clear" w:color="auto" w:fill="F7F4EE"/>
          </w:tcPr>
          <w:p>
            <w:r/>
            <w:r>
              <w:rPr>
                <w:rFonts w:ascii="Calibri" w:hAnsi="Calibri"/>
                <w:color w:val="B03A2E"/>
                <w:sz w:val="19"/>
              </w:rPr>
              <w:t>Chat interface only</w:t>
            </w:r>
          </w:p>
        </w:tc>
        <w:tc>
          <w:tcPr>
            <w:tcW w:type="dxa" w:w="3118"/>
            <w:shd w:val="clear" w:color="auto" w:fill="F7F4EE"/>
          </w:tcPr>
          <w:p>
            <w:r/>
            <w:r>
              <w:rPr>
                <w:rFonts w:ascii="Calibri" w:hAnsi="Calibri"/>
                <w:color w:val="115740"/>
                <w:sz w:val="19"/>
              </w:rPr>
              <w:t>Click-to-classify + visual cards</w:t>
            </w:r>
          </w:p>
        </w:tc>
      </w:tr>
      <w:tr>
        <w:tc>
          <w:tcPr>
            <w:tcW w:type="dxa" w:w="3118"/>
          </w:tcPr>
          <w:p>
            <w:r/>
            <w:r>
              <w:rPr>
                <w:rFonts w:ascii="Calibri" w:hAnsi="Calibri"/>
                <w:b/>
                <w:color w:val="115740"/>
                <w:sz w:val="19"/>
              </w:rPr>
              <w:t>Learns from YOUR data</w:t>
            </w:r>
          </w:p>
        </w:tc>
        <w:tc>
          <w:tcPr>
            <w:tcW w:type="dxa" w:w="3118"/>
          </w:tcPr>
          <w:p>
            <w:r/>
            <w:r>
              <w:rPr>
                <w:rFonts w:ascii="Calibri" w:hAnsi="Calibri"/>
                <w:color w:val="B03A2E"/>
                <w:sz w:val="19"/>
              </w:rPr>
              <w:t>Context only, no retraining</w:t>
            </w:r>
          </w:p>
        </w:tc>
        <w:tc>
          <w:tcPr>
            <w:tcW w:type="dxa" w:w="3118"/>
          </w:tcPr>
          <w:p>
            <w:r/>
            <w:r>
              <w:rPr>
                <w:rFonts w:ascii="Calibri" w:hAnsi="Calibri"/>
                <w:color w:val="115740"/>
                <w:sz w:val="19"/>
              </w:rPr>
              <w:t>Model retrains on your PDs</w:t>
            </w:r>
          </w:p>
        </w:tc>
      </w:tr>
      <w:tr>
        <w:tc>
          <w:tcPr>
            <w:tcW w:type="dxa" w:w="3118"/>
            <w:shd w:val="clear" w:color="auto" w:fill="F7F4EE"/>
          </w:tcPr>
          <w:p>
            <w:r/>
            <w:r>
              <w:rPr>
                <w:rFonts w:ascii="Calibri" w:hAnsi="Calibri"/>
                <w:b/>
                <w:color w:val="115740"/>
                <w:sz w:val="19"/>
              </w:rPr>
              <w:t>API / batch / SQL integration</w:t>
            </w:r>
          </w:p>
        </w:tc>
        <w:tc>
          <w:tcPr>
            <w:tcW w:type="dxa" w:w="3118"/>
            <w:shd w:val="clear" w:color="auto" w:fill="F7F4EE"/>
          </w:tcPr>
          <w:p>
            <w:r/>
            <w:r>
              <w:rPr>
                <w:rFonts w:ascii="Calibri" w:hAnsi="Calibri"/>
                <w:color w:val="B03A2E"/>
                <w:sz w:val="19"/>
              </w:rPr>
              <w:t>Chat endpoint</w:t>
            </w:r>
          </w:p>
        </w:tc>
        <w:tc>
          <w:tcPr>
            <w:tcW w:type="dxa" w:w="3118"/>
            <w:shd w:val="clear" w:color="auto" w:fill="F7F4EE"/>
          </w:tcPr>
          <w:p>
            <w:r/>
            <w:r>
              <w:rPr>
                <w:rFonts w:ascii="Calibri" w:hAnsi="Calibri"/>
                <w:color w:val="115740"/>
                <w:sz w:val="19"/>
              </w:rPr>
              <w:t>Production app surface</w:t>
            </w:r>
          </w:p>
        </w:tc>
      </w:tr>
      <w:tr>
        <w:tc>
          <w:tcPr>
            <w:tcW w:type="dxa" w:w="3118"/>
          </w:tcPr>
          <w:p>
            <w:r/>
            <w:r>
              <w:rPr>
                <w:rFonts w:ascii="Calibri" w:hAnsi="Calibri"/>
                <w:b/>
                <w:color w:val="115740"/>
                <w:sz w:val="19"/>
              </w:rPr>
              <w:t>Vendor independence</w:t>
            </w:r>
          </w:p>
        </w:tc>
        <w:tc>
          <w:tcPr>
            <w:tcW w:type="dxa" w:w="3118"/>
          </w:tcPr>
          <w:p>
            <w:r/>
            <w:r>
              <w:rPr>
                <w:rFonts w:ascii="Calibri" w:hAnsi="Calibri"/>
                <w:color w:val="B03A2E"/>
                <w:sz w:val="19"/>
              </w:rPr>
              <w:t>Locked to Anthropic</w:t>
            </w:r>
          </w:p>
        </w:tc>
        <w:tc>
          <w:tcPr>
            <w:tcW w:type="dxa" w:w="3118"/>
          </w:tcPr>
          <w:p>
            <w:r/>
            <w:r>
              <w:rPr>
                <w:rFonts w:ascii="Calibri" w:hAnsi="Calibri"/>
                <w:color w:val="115740"/>
                <w:sz w:val="19"/>
              </w:rPr>
              <w:t>Model-agnostic via LangChain</w:t>
            </w:r>
          </w:p>
        </w:tc>
      </w:tr>
      <w:tr>
        <w:tc>
          <w:tcPr>
            <w:tcW w:type="dxa" w:w="3118"/>
            <w:shd w:val="clear" w:color="auto" w:fill="F7F4EE"/>
          </w:tcPr>
          <w:p>
            <w:r/>
            <w:r>
              <w:rPr>
                <w:rFonts w:ascii="Calibri" w:hAnsi="Calibri"/>
                <w:b/>
                <w:color w:val="115740"/>
                <w:sz w:val="19"/>
              </w:rPr>
              <w:t>Setup time</w:t>
            </w:r>
          </w:p>
        </w:tc>
        <w:tc>
          <w:tcPr>
            <w:tcW w:type="dxa" w:w="3118"/>
            <w:shd w:val="clear" w:color="auto" w:fill="F7F4EE"/>
          </w:tcPr>
          <w:p>
            <w:r/>
            <w:r>
              <w:rPr>
                <w:rFonts w:ascii="Calibri" w:hAnsi="Calibri"/>
                <w:color w:val="115740"/>
                <w:sz w:val="19"/>
              </w:rPr>
              <w:t>Hours</w:t>
            </w:r>
          </w:p>
        </w:tc>
        <w:tc>
          <w:tcPr>
            <w:tcW w:type="dxa" w:w="3118"/>
            <w:shd w:val="clear" w:color="auto" w:fill="F7F4EE"/>
          </w:tcPr>
          <w:p>
            <w:r/>
            <w:r>
              <w:rPr>
                <w:rFonts w:ascii="Calibri" w:hAnsi="Calibri"/>
                <w:color w:val="B03A2E"/>
                <w:sz w:val="19"/>
              </w:rPr>
              <w:t>Weeks (already done)</w:t>
            </w:r>
          </w:p>
        </w:tc>
      </w:tr>
      <w:tr>
        <w:tc>
          <w:tcPr>
            <w:tcW w:type="dxa" w:w="3118"/>
          </w:tcPr>
          <w:p>
            <w:r/>
            <w:r>
              <w:rPr>
                <w:rFonts w:ascii="Calibri" w:hAnsi="Calibri"/>
                <w:b/>
                <w:color w:val="115740"/>
                <w:sz w:val="19"/>
              </w:rPr>
              <w:t>Ongoing maintenance load</w:t>
            </w:r>
          </w:p>
        </w:tc>
        <w:tc>
          <w:tcPr>
            <w:tcW w:type="dxa" w:w="3118"/>
          </w:tcPr>
          <w:p>
            <w:r/>
            <w:r>
              <w:rPr>
                <w:rFonts w:ascii="Calibri" w:hAnsi="Calibri"/>
                <w:color w:val="115740"/>
                <w:sz w:val="19"/>
              </w:rPr>
              <w:t>Low</w:t>
            </w:r>
          </w:p>
        </w:tc>
        <w:tc>
          <w:tcPr>
            <w:tcW w:type="dxa" w:w="3118"/>
          </w:tcPr>
          <w:p>
            <w:r/>
            <w:r>
              <w:rPr>
                <w:rFonts w:ascii="Calibri" w:hAnsi="Calibri"/>
                <w:color w:val="B03A2E"/>
                <w:sz w:val="19"/>
              </w:rPr>
              <w:t>Medium (retraining, deploys)</w:t>
            </w:r>
          </w:p>
        </w:tc>
      </w:tr>
      <w:tr>
        <w:tc>
          <w:tcPr>
            <w:tcW w:type="dxa" w:w="3118"/>
            <w:shd w:val="clear" w:color="auto" w:fill="F7F4EE"/>
          </w:tcPr>
          <w:p>
            <w:r/>
            <w:r>
              <w:rPr>
                <w:rFonts w:ascii="Calibri" w:hAnsi="Calibri"/>
                <w:b/>
                <w:color w:val="115740"/>
                <w:sz w:val="19"/>
              </w:rPr>
              <w:t>Natural language Q&amp;A</w:t>
            </w:r>
          </w:p>
        </w:tc>
        <w:tc>
          <w:tcPr>
            <w:tcW w:type="dxa" w:w="3118"/>
            <w:shd w:val="clear" w:color="auto" w:fill="F7F4EE"/>
          </w:tcPr>
          <w:p>
            <w:r/>
            <w:r>
              <w:rPr>
                <w:rFonts w:ascii="Calibri" w:hAnsi="Calibri"/>
                <w:color w:val="115740"/>
                <w:sz w:val="19"/>
              </w:rPr>
              <w:t>Strong</w:t>
            </w:r>
          </w:p>
        </w:tc>
        <w:tc>
          <w:tcPr>
            <w:tcW w:type="dxa" w:w="3118"/>
            <w:shd w:val="clear" w:color="auto" w:fill="F7F4EE"/>
          </w:tcPr>
          <w:p>
            <w:r/>
            <w:r>
              <w:rPr>
                <w:rFonts w:ascii="Calibri" w:hAnsi="Calibri"/>
                <w:color w:val="B03A2E"/>
                <w:sz w:val="19"/>
              </w:rPr>
              <w:t>Not the interaction model</w:t>
            </w:r>
          </w:p>
        </w:tc>
      </w:tr>
    </w:tbl>
    <w:p>
      <w:r>
        <w:br w:type="page"/>
      </w:r>
    </w:p>
    <w:p>
      <w:pPr>
        <w:spacing w:before="0" w:after="80"/>
      </w:pPr>
      <w:r>
        <w:rPr>
          <w:rFonts w:ascii="Calibri" w:hAnsi="Calibri"/>
          <w:b/>
          <w:color w:val="115740"/>
          <w:sz w:val="28"/>
        </w:rPr>
        <w:t>If Pressed -- The Five Things That Don't Collapse</w:t>
      </w:r>
    </w:p>
    <w:p>
      <w:pPr>
        <w:spacing w:before="40" w:after="120"/>
      </w:pPr>
      <w:r>
        <w:rPr>
          <w:rFonts w:ascii="Calibri" w:hAnsi="Calibri"/>
          <w:i/>
          <w:color w:val="555555"/>
          <w:sz w:val="18"/>
        </w:rPr>
        <w:t>These are the architectural arguments. Use them when the debate goes past surface features.</w:t>
      </w:r>
    </w:p>
    <w:p>
      <w:pPr>
        <w:spacing w:before="120" w:after="40"/>
      </w:pPr>
      <w:r>
        <w:rPr>
          <w:rFonts w:ascii="Calibri" w:hAnsi="Calibri"/>
          <w:b/>
          <w:color w:val="C99700"/>
          <w:sz w:val="22"/>
        </w:rPr>
        <w:t>1. Statistical ML Layer Is Irreplaceable</w:t>
      </w:r>
    </w:p>
    <w:p>
      <w:pPr>
        <w:spacing w:before="0" w:after="40"/>
      </w:pPr>
      <w:r>
        <w:rPr>
          <w:rFonts w:ascii="Calibri" w:hAnsi="Calibri"/>
          <w:color w:val="2D2D2D"/>
          <w:sz w:val="20"/>
        </w:rPr>
        <w:t>A Claude Project is pure LLM. It cannot produce statistical probabilities from trained features. 94.3% ML probability based on 15 engineered features validated against 500 training examples is defensible math. Claude thought it was Administrative Services is an opinion. For classifications that may be appealed, the math matters.</w:t>
      </w:r>
    </w:p>
    <w:p>
      <w:pPr>
        <w:spacing w:before="120" w:after="40"/>
      </w:pPr>
      <w:r>
        <w:rPr>
          <w:rFonts w:ascii="Calibri" w:hAnsi="Calibri"/>
          <w:b/>
          <w:color w:val="C99700"/>
          <w:sz w:val="22"/>
        </w:rPr>
        <w:t>2. Deterministic Reproducibility</w:t>
      </w:r>
    </w:p>
    <w:p>
      <w:pPr>
        <w:spacing w:before="0" w:after="40"/>
      </w:pPr>
      <w:r>
        <w:rPr>
          <w:rFonts w:ascii="Calibri" w:hAnsi="Calibri"/>
          <w:color w:val="2D2D2D"/>
          <w:sz w:val="20"/>
        </w:rPr>
        <w:t>sklearn returns IDENTICAL output for IDENTICAL input, every time. LLMs have variance even at temperature 0. If HR needs to defend a classification in an appeal two years later, you need to reproduce it. LLMs cannot guarantee that; trained models can.</w:t>
      </w:r>
    </w:p>
    <w:p>
      <w:pPr>
        <w:spacing w:before="120" w:after="40"/>
      </w:pPr>
      <w:r>
        <w:rPr>
          <w:rFonts w:ascii="Calibri" w:hAnsi="Calibri"/>
          <w:b/>
          <w:color w:val="C99700"/>
          <w:sz w:val="22"/>
        </w:rPr>
        <w:t>3. Cost Economics at Scale</w:t>
      </w:r>
    </w:p>
    <w:p>
      <w:pPr>
        <w:spacing w:before="0" w:after="40"/>
      </w:pPr>
      <w:r>
        <w:rPr>
          <w:rFonts w:ascii="Calibri" w:hAnsi="Calibri"/>
          <w:color w:val="2D2D2D"/>
          <w:sz w:val="20"/>
        </w:rPr>
        <w:t>$0.00-$0.05 per GRIFFIN classification vs $0.30-$1.50 per enterprise Claude call. For 10,000 classifications per year, that is $100-$500 vs $3,000-$15,000. This is a real budget line, not a rounding error.</w:t>
      </w:r>
    </w:p>
    <w:p>
      <w:pPr>
        <w:spacing w:before="120" w:after="40"/>
      </w:pPr>
      <w:r>
        <w:rPr>
          <w:rFonts w:ascii="Calibri" w:hAnsi="Calibri"/>
          <w:b/>
          <w:color w:val="C99700"/>
          <w:sz w:val="22"/>
        </w:rPr>
        <w:t>4. Training Data Becomes an Institutional Asset</w:t>
      </w:r>
    </w:p>
    <w:p>
      <w:pPr>
        <w:spacing w:before="0" w:after="40"/>
      </w:pPr>
      <w:r>
        <w:rPr>
          <w:rFonts w:ascii="Calibri" w:hAnsi="Calibri"/>
          <w:color w:val="2D2D2D"/>
          <w:sz w:val="20"/>
        </w:rPr>
        <w:t>A Project holds reference data in its context. It does not learn. GRIFFIN's model retrains on your confirmed classifications. In two years, GRIFFIN will KNOW your department's patterns in ways no general LLM can. A Project is a snapshot; GRIFFIN is compounding knowledge.</w:t>
      </w:r>
    </w:p>
    <w:p>
      <w:pPr>
        <w:spacing w:before="120" w:after="40"/>
      </w:pPr>
      <w:r>
        <w:rPr>
          <w:rFonts w:ascii="Calibri" w:hAnsi="Calibri"/>
          <w:b/>
          <w:color w:val="C99700"/>
          <w:sz w:val="22"/>
        </w:rPr>
        <w:t>5. Vendor Independence and Institutional Sovereignty</w:t>
      </w:r>
    </w:p>
    <w:p>
      <w:pPr>
        <w:spacing w:before="0" w:after="40"/>
      </w:pPr>
      <w:r>
        <w:rPr>
          <w:rFonts w:ascii="Calibri" w:hAnsi="Calibri"/>
          <w:color w:val="2D2D2D"/>
          <w:sz w:val="20"/>
        </w:rPr>
        <w:t>A Claude Project locks your classification expertise into Anthropic's product roadmap. If they deprecate Projects, reprice enterprise, or pivot markets, your knowledge is trapped. GRIFFIN's model weights and training data are yours forever. LangChain makes the LLM swap-in-one-line -- Gemini to Claude to GPT is a config change, not a rewrite.</w:t>
      </w:r>
    </w:p>
    <w:p>
      <w:pPr>
        <w:spacing w:before="240" w:after="80"/>
      </w:pPr>
      <w:r>
        <w:rPr>
          <w:rFonts w:ascii="Calibri" w:hAnsi="Calibri"/>
          <w:b/>
          <w:color w:val="115740"/>
          <w:sz w:val="28"/>
        </w:rPr>
        <w:t>When to Concede (it makes you stronger, not weaker)</w:t>
      </w:r>
    </w:p>
    <w:p>
      <w:pPr>
        <w:spacing w:before="40" w:after="120"/>
      </w:pPr>
      <w:r>
        <w:rPr>
          <w:rFonts w:ascii="Calibri" w:hAnsi="Calibri"/>
          <w:i/>
          <w:color w:val="555555"/>
          <w:sz w:val="18"/>
        </w:rPr>
        <w:t>A sophisticated board member will respect an honest trade-off over defensive advocacy. If the conversation reaches this point, use this language:</w:t>
      </w:r>
    </w:p>
    <w:p>
      <w:pPr>
        <w:spacing w:before="40" w:after="80"/>
      </w:pPr>
      <w:r>
        <w:rPr>
          <w:rFonts w:ascii="Calibri" w:hAnsi="Calibri"/>
          <w:color w:val="2D2D2D"/>
          <w:sz w:val="20"/>
        </w:rPr>
        <w:t>For exploratory classification work, knowledge-accumulation research, or a single senior analyst doing judgment-heavy cases -- an enterprise Claude Project is a legitimate tool. I would recommend it for that use case.</w:t>
      </w:r>
    </w:p>
    <w:p>
      <w:pPr>
        <w:spacing w:before="40" w:after="80"/>
      </w:pPr>
      <w:r>
        <w:rPr>
          <w:rFonts w:ascii="Calibri" w:hAnsi="Calibri"/>
          <w:color w:val="2D2D2D"/>
          <w:sz w:val="20"/>
        </w:rPr>
        <w:t>For high-volume operational classification across a team, with cost discipline, audit-grade reproducibility, training data that becomes an institutional asset, and integration points into HRIS and reporting systems -- that is what GRIFFIN is specifically designed for.</w:t>
      </w:r>
    </w:p>
    <w:p>
      <w:pPr>
        <w:spacing w:before="40" w:after="80"/>
      </w:pPr>
      <w:r>
        <w:rPr>
          <w:rFonts w:ascii="Calibri" w:hAnsi="Calibri"/>
          <w:color w:val="2D2D2D"/>
          <w:sz w:val="20"/>
        </w:rPr>
        <w:t>The honest answer is not GRIFFIN beats Claude Project. It is they solve different problems, and we built GRIFFIN because HR's operational use case has five requirements a chat interface structurally cannot provide.</w:t>
      </w:r>
    </w:p>
    <w:p>
      <w:pPr>
        <w:spacing w:before="280" w:after="80"/>
        <w:jc w:val="center"/>
      </w:pPr>
      <w:r>
        <w:rPr>
          <w:color w:val="C99700"/>
          <w:sz w:val="16"/>
        </w:rPr>
        <w:t>____________________________________________________________</w:t>
      </w:r>
    </w:p>
    <w:p>
      <w:pPr>
        <w:jc w:val="center"/>
      </w:pPr>
      <w:r>
        <w:rPr>
          <w:rFonts w:ascii="Calibri" w:hAnsi="Calibri"/>
          <w:i/>
          <w:color w:val="555555"/>
          <w:sz w:val="17"/>
        </w:rPr>
        <w:t>GRIFFIN Q&amp;A Prep Card  |  William &amp; Mary  |  Team 7, Spring 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