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D4D797" w14:textId="77777777" w:rsidR="001529BA" w:rsidRDefault="001529BA" w:rsidP="0021231B">
      <w:pPr>
        <w:rPr>
          <w:b/>
          <w:bCs/>
          <w:sz w:val="64"/>
          <w:szCs w:val="64"/>
        </w:rPr>
      </w:pPr>
    </w:p>
    <w:p w14:paraId="505F7B65" w14:textId="77777777" w:rsidR="001529BA" w:rsidRDefault="001529BA" w:rsidP="0021231B">
      <w:pPr>
        <w:rPr>
          <w:b/>
          <w:bCs/>
          <w:sz w:val="64"/>
          <w:szCs w:val="64"/>
        </w:rPr>
      </w:pPr>
    </w:p>
    <w:p w14:paraId="7A0DACBA" w14:textId="77777777" w:rsidR="001529BA" w:rsidRDefault="001529BA" w:rsidP="0021231B">
      <w:pPr>
        <w:rPr>
          <w:b/>
          <w:bCs/>
          <w:sz w:val="64"/>
          <w:szCs w:val="64"/>
        </w:rPr>
      </w:pPr>
    </w:p>
    <w:p w14:paraId="79A85001" w14:textId="77777777" w:rsidR="001529BA" w:rsidRDefault="001529BA" w:rsidP="0021231B">
      <w:pPr>
        <w:rPr>
          <w:b/>
          <w:bCs/>
          <w:sz w:val="64"/>
          <w:szCs w:val="64"/>
        </w:rPr>
      </w:pPr>
    </w:p>
    <w:p w14:paraId="491240E8" w14:textId="77777777" w:rsidR="001529BA" w:rsidRDefault="001529BA" w:rsidP="0021231B">
      <w:pPr>
        <w:rPr>
          <w:b/>
          <w:bCs/>
          <w:sz w:val="64"/>
          <w:szCs w:val="64"/>
        </w:rPr>
      </w:pPr>
    </w:p>
    <w:p w14:paraId="5C50D893" w14:textId="77777777" w:rsidR="001529BA" w:rsidRDefault="00000000" w:rsidP="0021231B">
      <w:pPr>
        <w:jc w:val="center"/>
        <w:rPr>
          <w:b/>
          <w:bCs/>
          <w:sz w:val="64"/>
          <w:szCs w:val="64"/>
        </w:rPr>
      </w:pPr>
      <w:r>
        <w:rPr>
          <w:b/>
          <w:bCs/>
          <w:sz w:val="64"/>
          <w:szCs w:val="64"/>
          <w:lang w:val="nl-NL"/>
        </w:rPr>
        <w:t>European Financial Data Space</w:t>
      </w:r>
    </w:p>
    <w:p w14:paraId="24916681" w14:textId="77777777" w:rsidR="001529BA" w:rsidRDefault="00000000" w:rsidP="0021231B">
      <w:pPr>
        <w:jc w:val="center"/>
        <w:rPr>
          <w:b/>
          <w:bCs/>
          <w:sz w:val="40"/>
          <w:szCs w:val="40"/>
        </w:rPr>
      </w:pPr>
      <w:r>
        <w:rPr>
          <w:b/>
          <w:bCs/>
          <w:sz w:val="40"/>
          <w:szCs w:val="40"/>
        </w:rPr>
        <w:t>The main problems and possible solutions</w:t>
      </w:r>
    </w:p>
    <w:p w14:paraId="79163A4D" w14:textId="77777777" w:rsidR="001529BA" w:rsidRDefault="001529BA" w:rsidP="0021231B">
      <w:pPr>
        <w:jc w:val="center"/>
        <w:rPr>
          <w:b/>
          <w:bCs/>
          <w:sz w:val="40"/>
          <w:szCs w:val="40"/>
        </w:rPr>
      </w:pPr>
    </w:p>
    <w:p w14:paraId="64C79B33" w14:textId="77777777" w:rsidR="001529BA" w:rsidRDefault="00000000" w:rsidP="0021231B">
      <w:pPr>
        <w:jc w:val="center"/>
        <w:rPr>
          <w:sz w:val="32"/>
          <w:szCs w:val="32"/>
        </w:rPr>
      </w:pPr>
      <w:r>
        <w:rPr>
          <w:sz w:val="32"/>
          <w:szCs w:val="32"/>
        </w:rPr>
        <w:t xml:space="preserve">David Siang-Li </w:t>
      </w:r>
      <w:proofErr w:type="spellStart"/>
      <w:r>
        <w:rPr>
          <w:sz w:val="32"/>
          <w:szCs w:val="32"/>
        </w:rPr>
        <w:t>Jheng</w:t>
      </w:r>
      <w:proofErr w:type="spellEnd"/>
    </w:p>
    <w:p w14:paraId="5899DDB3" w14:textId="349F1C05" w:rsidR="001529BA" w:rsidRDefault="00000000" w:rsidP="0021231B">
      <w:pPr>
        <w:jc w:val="center"/>
        <w:rPr>
          <w:sz w:val="32"/>
          <w:szCs w:val="32"/>
        </w:rPr>
      </w:pPr>
      <w:r>
        <w:rPr>
          <w:sz w:val="32"/>
          <w:szCs w:val="32"/>
        </w:rPr>
        <w:t>Ș</w:t>
      </w:r>
      <w:proofErr w:type="spellStart"/>
      <w:r>
        <w:rPr>
          <w:sz w:val="32"/>
          <w:szCs w:val="32"/>
          <w:lang w:val="nl-NL"/>
        </w:rPr>
        <w:t>tefan</w:t>
      </w:r>
      <w:proofErr w:type="spellEnd"/>
      <w:r>
        <w:rPr>
          <w:sz w:val="32"/>
          <w:szCs w:val="32"/>
          <w:lang w:val="nl-NL"/>
        </w:rPr>
        <w:t xml:space="preserve"> Ga</w:t>
      </w:r>
      <w:r>
        <w:rPr>
          <w:sz w:val="32"/>
          <w:szCs w:val="32"/>
        </w:rPr>
        <w:t>̆man</w:t>
      </w:r>
    </w:p>
    <w:p w14:paraId="21DB04A1" w14:textId="77777777" w:rsidR="001529BA" w:rsidRDefault="00000000" w:rsidP="0021231B">
      <w:pPr>
        <w:jc w:val="center"/>
        <w:rPr>
          <w:sz w:val="32"/>
          <w:szCs w:val="32"/>
        </w:rPr>
      </w:pPr>
      <w:r>
        <w:rPr>
          <w:sz w:val="32"/>
          <w:szCs w:val="32"/>
        </w:rPr>
        <w:t>Rahul Tak</w:t>
      </w:r>
    </w:p>
    <w:p w14:paraId="6A4D5DD7" w14:textId="77777777" w:rsidR="001529BA" w:rsidRDefault="001529BA" w:rsidP="0021231B">
      <w:pPr>
        <w:jc w:val="center"/>
        <w:rPr>
          <w:sz w:val="32"/>
          <w:szCs w:val="32"/>
        </w:rPr>
      </w:pPr>
    </w:p>
    <w:p w14:paraId="3515FAA4" w14:textId="77777777" w:rsidR="001529BA" w:rsidRDefault="00000000" w:rsidP="0021231B">
      <w:pPr>
        <w:jc w:val="center"/>
      </w:pPr>
      <w:r>
        <w:rPr>
          <w:sz w:val="32"/>
          <w:szCs w:val="32"/>
        </w:rPr>
        <w:t>April 2025</w:t>
      </w:r>
      <w:r>
        <w:rPr>
          <w:rFonts w:ascii="Arial Unicode MS" w:hAnsi="Arial Unicode MS"/>
          <w:sz w:val="32"/>
          <w:szCs w:val="32"/>
        </w:rPr>
        <w:br w:type="page"/>
      </w:r>
    </w:p>
    <w:p w14:paraId="273D30E2" w14:textId="77777777" w:rsidR="001529BA" w:rsidRDefault="00000000" w:rsidP="0021231B">
      <w:pPr>
        <w:pStyle w:val="a5"/>
        <w:numPr>
          <w:ilvl w:val="0"/>
          <w:numId w:val="2"/>
        </w:numPr>
        <w:suppressAutoHyphens/>
        <w:spacing w:before="0" w:line="360" w:lineRule="auto"/>
        <w:rPr>
          <w:rFonts w:ascii="Times Roman" w:hAnsi="Times Roman" w:hint="eastAsia"/>
          <w:b/>
          <w:bCs/>
          <w:sz w:val="28"/>
          <w:szCs w:val="28"/>
        </w:rPr>
      </w:pPr>
      <w:r>
        <w:rPr>
          <w:rFonts w:ascii="Times Roman" w:hAnsi="Times Roman"/>
          <w:b/>
          <w:bCs/>
          <w:sz w:val="28"/>
          <w:szCs w:val="28"/>
        </w:rPr>
        <w:lastRenderedPageBreak/>
        <w:t>Executive Summary</w:t>
      </w:r>
    </w:p>
    <w:p w14:paraId="718916A1" w14:textId="77777777" w:rsidR="001529BA" w:rsidRDefault="00000000" w:rsidP="0021231B">
      <w:pPr>
        <w:pStyle w:val="a5"/>
        <w:suppressAutoHyphens/>
        <w:spacing w:before="0" w:after="240" w:line="360" w:lineRule="auto"/>
        <w:ind w:left="595"/>
        <w:rPr>
          <w:rFonts w:ascii="Times Roman" w:eastAsia="Times Roman" w:hAnsi="Times Roman" w:cs="Times Roman"/>
        </w:rPr>
      </w:pPr>
      <w:r>
        <w:rPr>
          <w:rFonts w:ascii="Times Roman" w:hAnsi="Times Roman"/>
        </w:rPr>
        <w:t>This report presents a clear plan for including cryptocurrency and blockchain-related data in the European Financial Data Space (EFDS). As the European Union pushes forward with building a strong digital economy, it must also keep up with emerging financial technologies like crypto and decentralized finance (DeFi). This document offers six practical steps the EU can take to make crypto part of the EFDS. The aim is to build trust, support innovation, and ensure the system respects EU laws and user rights.</w:t>
      </w:r>
    </w:p>
    <w:p w14:paraId="33361819" w14:textId="77777777" w:rsidR="001529BA" w:rsidRDefault="00000000" w:rsidP="0021231B">
      <w:pPr>
        <w:pStyle w:val="a5"/>
        <w:numPr>
          <w:ilvl w:val="0"/>
          <w:numId w:val="2"/>
        </w:numPr>
        <w:suppressAutoHyphens/>
        <w:spacing w:before="0" w:line="360" w:lineRule="auto"/>
        <w:rPr>
          <w:rFonts w:ascii="Times Roman" w:hAnsi="Times Roman" w:hint="eastAsia"/>
          <w:b/>
          <w:bCs/>
          <w:sz w:val="28"/>
          <w:szCs w:val="28"/>
        </w:rPr>
      </w:pPr>
      <w:r>
        <w:rPr>
          <w:rFonts w:ascii="Times Roman" w:hAnsi="Times Roman"/>
          <w:b/>
          <w:bCs/>
          <w:sz w:val="28"/>
          <w:szCs w:val="28"/>
        </w:rPr>
        <w:t>Background: What is the EFDS?</w:t>
      </w:r>
    </w:p>
    <w:p w14:paraId="3D47496E" w14:textId="77777777" w:rsidR="001529BA" w:rsidRDefault="00000000" w:rsidP="0021231B">
      <w:pPr>
        <w:pStyle w:val="a5"/>
        <w:suppressAutoHyphens/>
        <w:spacing w:before="0" w:after="240" w:line="360" w:lineRule="auto"/>
        <w:ind w:left="595"/>
        <w:rPr>
          <w:rFonts w:ascii="Times Roman" w:eastAsia="Times Roman" w:hAnsi="Times Roman" w:cs="Times Roman"/>
        </w:rPr>
      </w:pPr>
      <w:r>
        <w:rPr>
          <w:rFonts w:ascii="Times Roman" w:hAnsi="Times Roman"/>
        </w:rPr>
        <w:t>The European Financial Data Space is part of a larger EU initiative to build a network of connected, secure, and easy-to-use data systems across important sectors like health, energy, and finance. The EFDS is focused on improving how financial data is shared and used in the EU.</w:t>
      </w:r>
    </w:p>
    <w:p w14:paraId="72D8CC56" w14:textId="77777777" w:rsidR="001529BA" w:rsidRDefault="00000000" w:rsidP="0021231B">
      <w:pPr>
        <w:pStyle w:val="a5"/>
        <w:suppressAutoHyphens/>
        <w:spacing w:before="0" w:line="360" w:lineRule="auto"/>
        <w:ind w:left="595"/>
        <w:rPr>
          <w:rFonts w:ascii="Times Roman" w:eastAsia="Times Roman" w:hAnsi="Times Roman" w:cs="Times Roman"/>
        </w:rPr>
      </w:pPr>
      <w:r>
        <w:rPr>
          <w:rFonts w:ascii="Times Roman" w:hAnsi="Times Roman"/>
        </w:rPr>
        <w:t>It has three main building blocks:</w:t>
      </w:r>
    </w:p>
    <w:p w14:paraId="0223F51C" w14:textId="77777777" w:rsidR="001529BA" w:rsidRDefault="00000000" w:rsidP="0021231B">
      <w:pPr>
        <w:pStyle w:val="a5"/>
        <w:numPr>
          <w:ilvl w:val="0"/>
          <w:numId w:val="4"/>
        </w:numPr>
        <w:suppressAutoHyphens/>
        <w:spacing w:before="0" w:line="360" w:lineRule="auto"/>
        <w:rPr>
          <w:rFonts w:ascii="Times Roman" w:hAnsi="Times Roman" w:hint="eastAsia"/>
        </w:rPr>
      </w:pPr>
      <w:r>
        <w:rPr>
          <w:rFonts w:ascii="Times Roman" w:hAnsi="Times Roman"/>
        </w:rPr>
        <w:t>European Single Access Point (ESAP): This is a single, online platform that gathers public reports from companies like financial statements and ESG (Environmental, Social, and Governance) reports. It helps investors and analysts find information easily.</w:t>
      </w:r>
    </w:p>
    <w:p w14:paraId="387EDC02" w14:textId="77777777" w:rsidR="001529BA" w:rsidRDefault="00000000" w:rsidP="0021231B">
      <w:pPr>
        <w:pStyle w:val="a5"/>
        <w:numPr>
          <w:ilvl w:val="0"/>
          <w:numId w:val="4"/>
        </w:numPr>
        <w:suppressAutoHyphens/>
        <w:spacing w:before="0" w:line="360" w:lineRule="auto"/>
        <w:rPr>
          <w:rFonts w:ascii="Times Roman" w:hAnsi="Times Roman" w:hint="eastAsia"/>
        </w:rPr>
      </w:pPr>
      <w:r>
        <w:rPr>
          <w:rFonts w:ascii="Times Roman" w:hAnsi="Times Roman"/>
        </w:rPr>
        <w:t>Framework for Financial Data Access (FIDA): This gives customers the right to share their financial data (like bank or insurance information) with apps or services they choose. It ensures real-time and secure sharing through standardized digital tools.</w:t>
      </w:r>
    </w:p>
    <w:p w14:paraId="75CB1257" w14:textId="77777777" w:rsidR="001529BA" w:rsidRDefault="00000000" w:rsidP="0021231B">
      <w:pPr>
        <w:pStyle w:val="a5"/>
        <w:numPr>
          <w:ilvl w:val="0"/>
          <w:numId w:val="4"/>
        </w:numPr>
        <w:suppressAutoHyphens/>
        <w:spacing w:before="0" w:line="360" w:lineRule="auto"/>
        <w:rPr>
          <w:rFonts w:ascii="Times Roman" w:hAnsi="Times Roman" w:hint="eastAsia"/>
        </w:rPr>
      </w:pPr>
      <w:r>
        <w:rPr>
          <w:rFonts w:ascii="Times Roman" w:hAnsi="Times Roman"/>
        </w:rPr>
        <w:t>Supervisory Data Strategy: This is a plan to simplify how financial institutions report data to regulators and to allow authorities to better share data with each other.</w:t>
      </w:r>
    </w:p>
    <w:p w14:paraId="0A8B8DBE" w14:textId="77777777" w:rsidR="001529BA" w:rsidRDefault="00000000" w:rsidP="0021231B">
      <w:pPr>
        <w:pStyle w:val="a5"/>
        <w:suppressAutoHyphens/>
        <w:spacing w:before="0" w:after="240" w:line="360" w:lineRule="auto"/>
        <w:ind w:left="595"/>
        <w:rPr>
          <w:rFonts w:ascii="Times Roman" w:eastAsia="Times Roman" w:hAnsi="Times Roman" w:cs="Times Roman"/>
        </w:rPr>
      </w:pPr>
      <w:r>
        <w:rPr>
          <w:rFonts w:ascii="Times Roman" w:hAnsi="Times Roman"/>
        </w:rPr>
        <w:t>Right now, crypto and blockchain data are not officially part of the EFDS. But given their growing importance, they should be included soon.</w:t>
      </w:r>
    </w:p>
    <w:p w14:paraId="26C96859" w14:textId="77777777" w:rsidR="001529BA" w:rsidRDefault="00000000" w:rsidP="0021231B">
      <w:pPr>
        <w:pStyle w:val="a5"/>
        <w:numPr>
          <w:ilvl w:val="0"/>
          <w:numId w:val="5"/>
        </w:numPr>
        <w:suppressAutoHyphens/>
        <w:spacing w:before="0" w:line="360" w:lineRule="auto"/>
        <w:rPr>
          <w:rFonts w:ascii="Times Roman" w:hAnsi="Times Roman" w:hint="eastAsia"/>
          <w:b/>
          <w:bCs/>
          <w:sz w:val="28"/>
          <w:szCs w:val="28"/>
        </w:rPr>
      </w:pPr>
      <w:r>
        <w:rPr>
          <w:rFonts w:ascii="Times Roman" w:hAnsi="Times Roman"/>
          <w:b/>
          <w:bCs/>
          <w:sz w:val="28"/>
          <w:szCs w:val="28"/>
        </w:rPr>
        <w:t>What</w:t>
      </w:r>
      <w:r>
        <w:rPr>
          <w:rFonts w:ascii="Times Roman" w:hAnsi="Times Roman"/>
          <w:b/>
          <w:bCs/>
          <w:sz w:val="28"/>
          <w:szCs w:val="28"/>
          <w:rtl/>
        </w:rPr>
        <w:t>’</w:t>
      </w:r>
      <w:r>
        <w:rPr>
          <w:rFonts w:ascii="Times Roman" w:hAnsi="Times Roman"/>
          <w:b/>
          <w:bCs/>
          <w:sz w:val="28"/>
          <w:szCs w:val="28"/>
        </w:rPr>
        <w:t>s Missing – and What</w:t>
      </w:r>
      <w:r>
        <w:rPr>
          <w:rFonts w:ascii="Times Roman" w:hAnsi="Times Roman"/>
          <w:b/>
          <w:bCs/>
          <w:sz w:val="28"/>
          <w:szCs w:val="28"/>
          <w:rtl/>
        </w:rPr>
        <w:t>’</w:t>
      </w:r>
      <w:r>
        <w:rPr>
          <w:rFonts w:ascii="Times Roman" w:hAnsi="Times Roman"/>
          <w:b/>
          <w:bCs/>
          <w:sz w:val="28"/>
          <w:szCs w:val="28"/>
          <w:lang w:val="fr-FR"/>
        </w:rPr>
        <w:t>s Possible</w:t>
      </w:r>
    </w:p>
    <w:p w14:paraId="17B4EC43" w14:textId="77777777" w:rsidR="001529BA" w:rsidRDefault="00000000" w:rsidP="0021231B">
      <w:pPr>
        <w:pStyle w:val="a5"/>
        <w:suppressAutoHyphens/>
        <w:spacing w:before="0" w:line="360" w:lineRule="auto"/>
        <w:ind w:left="595"/>
        <w:rPr>
          <w:rFonts w:ascii="Times Roman" w:eastAsia="Times Roman" w:hAnsi="Times Roman" w:cs="Times Roman"/>
        </w:rPr>
      </w:pPr>
      <w:r>
        <w:rPr>
          <w:rFonts w:ascii="Times Roman" w:hAnsi="Times Roman"/>
        </w:rPr>
        <w:t>Key problems the EU needs to solve:</w:t>
      </w:r>
    </w:p>
    <w:p w14:paraId="12D87639" w14:textId="77777777" w:rsidR="001529BA" w:rsidRDefault="00000000" w:rsidP="0021231B">
      <w:pPr>
        <w:pStyle w:val="a5"/>
        <w:numPr>
          <w:ilvl w:val="0"/>
          <w:numId w:val="4"/>
        </w:numPr>
        <w:suppressAutoHyphens/>
        <w:spacing w:before="0" w:line="360" w:lineRule="auto"/>
        <w:rPr>
          <w:rFonts w:ascii="Times Roman" w:hAnsi="Times Roman" w:hint="eastAsia"/>
        </w:rPr>
      </w:pPr>
      <w:r>
        <w:rPr>
          <w:rFonts w:ascii="Times Roman" w:hAnsi="Times Roman"/>
        </w:rPr>
        <w:t>Blockchain data is not standardized. Different crypto projects use different formats and systems, which makes data sharing difficult.</w:t>
      </w:r>
    </w:p>
    <w:p w14:paraId="153C1ECF" w14:textId="77777777" w:rsidR="001529BA" w:rsidRDefault="00000000" w:rsidP="0021231B">
      <w:pPr>
        <w:pStyle w:val="a5"/>
        <w:numPr>
          <w:ilvl w:val="0"/>
          <w:numId w:val="4"/>
        </w:numPr>
        <w:suppressAutoHyphens/>
        <w:spacing w:before="0" w:line="360" w:lineRule="auto"/>
        <w:rPr>
          <w:rFonts w:ascii="Times Roman" w:hAnsi="Times Roman" w:hint="eastAsia"/>
        </w:rPr>
      </w:pPr>
      <w:r>
        <w:rPr>
          <w:rFonts w:ascii="Times Roman" w:hAnsi="Times Roman"/>
        </w:rPr>
        <w:t>Blockchain is permanent and public, but EU privacy laws like the GDPR require users to have the right to delete or hide their data.</w:t>
      </w:r>
    </w:p>
    <w:p w14:paraId="3E76A438" w14:textId="77777777" w:rsidR="001529BA" w:rsidRDefault="00000000" w:rsidP="0021231B">
      <w:pPr>
        <w:pStyle w:val="a5"/>
        <w:numPr>
          <w:ilvl w:val="0"/>
          <w:numId w:val="4"/>
        </w:numPr>
        <w:suppressAutoHyphens/>
        <w:spacing w:before="0" w:line="360" w:lineRule="auto"/>
        <w:rPr>
          <w:rFonts w:ascii="Times Roman" w:hAnsi="Times Roman" w:hint="eastAsia"/>
        </w:rPr>
      </w:pPr>
      <w:r>
        <w:rPr>
          <w:rFonts w:ascii="Times Roman" w:hAnsi="Times Roman"/>
        </w:rPr>
        <w:t>Most blockchains don't have clear ways to link wallet addresses to real people, which is a problem for anti-money laundering (AML) rules.</w:t>
      </w:r>
    </w:p>
    <w:p w14:paraId="6886DAF2" w14:textId="77777777" w:rsidR="001529BA" w:rsidRDefault="00000000" w:rsidP="0021231B">
      <w:pPr>
        <w:pStyle w:val="a5"/>
        <w:numPr>
          <w:ilvl w:val="0"/>
          <w:numId w:val="4"/>
        </w:numPr>
        <w:suppressAutoHyphens/>
        <w:spacing w:before="0" w:line="360" w:lineRule="auto"/>
        <w:rPr>
          <w:rFonts w:ascii="Times Roman" w:hAnsi="Times Roman" w:hint="eastAsia"/>
        </w:rPr>
      </w:pPr>
      <w:r>
        <w:rPr>
          <w:rFonts w:ascii="Times Roman" w:hAnsi="Times Roman"/>
        </w:rPr>
        <w:lastRenderedPageBreak/>
        <w:t>There are many blockchains and DeFi platforms, all operating independently with different rules and data types.</w:t>
      </w:r>
    </w:p>
    <w:p w14:paraId="188A779E" w14:textId="77777777" w:rsidR="001529BA" w:rsidRDefault="00000000" w:rsidP="0021231B">
      <w:pPr>
        <w:pStyle w:val="a5"/>
        <w:numPr>
          <w:ilvl w:val="0"/>
          <w:numId w:val="4"/>
        </w:numPr>
        <w:suppressAutoHyphens/>
        <w:spacing w:before="0" w:line="360" w:lineRule="auto"/>
        <w:rPr>
          <w:rFonts w:ascii="Times Roman" w:hAnsi="Times Roman" w:hint="eastAsia"/>
        </w:rPr>
      </w:pPr>
      <w:r>
        <w:rPr>
          <w:rFonts w:ascii="Times Roman" w:hAnsi="Times Roman"/>
        </w:rPr>
        <w:t>The volume and speed of blockchain data is very high, making it hard to manage and understand without advanced tools.</w:t>
      </w:r>
    </w:p>
    <w:p w14:paraId="131BABFD" w14:textId="77777777" w:rsidR="001529BA" w:rsidRDefault="001529BA" w:rsidP="0021231B">
      <w:pPr>
        <w:pStyle w:val="a5"/>
        <w:suppressAutoHyphens/>
        <w:spacing w:before="0" w:line="360" w:lineRule="auto"/>
        <w:rPr>
          <w:rFonts w:ascii="Times Roman" w:eastAsia="Times Roman" w:hAnsi="Times Roman" w:cs="Times Roman"/>
        </w:rPr>
      </w:pPr>
    </w:p>
    <w:p w14:paraId="27A1B63E" w14:textId="77777777" w:rsidR="001529BA" w:rsidRDefault="00000000" w:rsidP="0021231B">
      <w:pPr>
        <w:pStyle w:val="a5"/>
        <w:suppressAutoHyphens/>
        <w:spacing w:before="0" w:line="360" w:lineRule="auto"/>
        <w:ind w:left="595"/>
        <w:rPr>
          <w:rFonts w:ascii="Times Roman" w:eastAsia="Times Roman" w:hAnsi="Times Roman" w:cs="Times Roman"/>
        </w:rPr>
      </w:pPr>
      <w:r>
        <w:rPr>
          <w:rFonts w:ascii="Times Roman" w:hAnsi="Times Roman"/>
        </w:rPr>
        <w:t>Despite these issues, there are big opportunities:</w:t>
      </w:r>
    </w:p>
    <w:p w14:paraId="01D93E3F" w14:textId="77777777" w:rsidR="001529BA" w:rsidRDefault="00000000" w:rsidP="0021231B">
      <w:pPr>
        <w:pStyle w:val="a5"/>
        <w:numPr>
          <w:ilvl w:val="0"/>
          <w:numId w:val="4"/>
        </w:numPr>
        <w:suppressAutoHyphens/>
        <w:spacing w:before="0" w:line="360" w:lineRule="auto"/>
        <w:rPr>
          <w:rFonts w:ascii="Times Roman" w:hAnsi="Times Roman" w:hint="eastAsia"/>
        </w:rPr>
      </w:pPr>
      <w:r>
        <w:rPr>
          <w:rFonts w:ascii="Times Roman" w:hAnsi="Times Roman"/>
        </w:rPr>
        <w:t>Blockchain makes financial transactions transparent and traceable in real time, which can help detect fraud and monitor risks.</w:t>
      </w:r>
    </w:p>
    <w:p w14:paraId="0635A293" w14:textId="77777777" w:rsidR="001529BA" w:rsidRDefault="00000000" w:rsidP="0021231B">
      <w:pPr>
        <w:pStyle w:val="a5"/>
        <w:numPr>
          <w:ilvl w:val="0"/>
          <w:numId w:val="4"/>
        </w:numPr>
        <w:suppressAutoHyphens/>
        <w:spacing w:before="0" w:line="360" w:lineRule="auto"/>
        <w:rPr>
          <w:rFonts w:ascii="Times Roman" w:hAnsi="Times Roman" w:hint="eastAsia"/>
        </w:rPr>
      </w:pPr>
      <w:r>
        <w:rPr>
          <w:rFonts w:ascii="Times Roman" w:hAnsi="Times Roman"/>
        </w:rPr>
        <w:t>By combining blockchain with other data spaces (like energy or environmental data), the EU can track things like carbon credits or sustainability.</w:t>
      </w:r>
    </w:p>
    <w:p w14:paraId="52AA90E9" w14:textId="77777777" w:rsidR="001529BA" w:rsidRDefault="00000000" w:rsidP="0021231B">
      <w:pPr>
        <w:pStyle w:val="a5"/>
        <w:numPr>
          <w:ilvl w:val="0"/>
          <w:numId w:val="4"/>
        </w:numPr>
        <w:suppressAutoHyphens/>
        <w:spacing w:before="0" w:line="360" w:lineRule="auto"/>
        <w:rPr>
          <w:rFonts w:ascii="Times Roman" w:hAnsi="Times Roman" w:hint="eastAsia"/>
        </w:rPr>
      </w:pPr>
      <w:r>
        <w:rPr>
          <w:rFonts w:ascii="Times Roman" w:hAnsi="Times Roman"/>
        </w:rPr>
        <w:t>Blockchain allows for programmable finance—services that run automatically through smart contracts.</w:t>
      </w:r>
    </w:p>
    <w:p w14:paraId="74860B43" w14:textId="77777777" w:rsidR="001529BA" w:rsidRDefault="00000000" w:rsidP="0021231B">
      <w:pPr>
        <w:pStyle w:val="a5"/>
        <w:numPr>
          <w:ilvl w:val="0"/>
          <w:numId w:val="4"/>
        </w:numPr>
        <w:suppressAutoHyphens/>
        <w:spacing w:before="0" w:line="360" w:lineRule="auto"/>
        <w:rPr>
          <w:rFonts w:ascii="Times Roman" w:hAnsi="Times Roman" w:hint="eastAsia"/>
        </w:rPr>
      </w:pPr>
      <w:r>
        <w:rPr>
          <w:rFonts w:ascii="Times Roman" w:hAnsi="Times Roman"/>
        </w:rPr>
        <w:t>The EU</w:t>
      </w:r>
      <w:r>
        <w:rPr>
          <w:rFonts w:ascii="Times Roman" w:hAnsi="Times Roman"/>
          <w:rtl/>
        </w:rPr>
        <w:t>’</w:t>
      </w:r>
      <w:r>
        <w:rPr>
          <w:rFonts w:ascii="Times Roman" w:hAnsi="Times Roman"/>
        </w:rPr>
        <w:t>s digital identity systems could be connected to crypto wallets to improve security and compliance.</w:t>
      </w:r>
    </w:p>
    <w:p w14:paraId="556AEC9E" w14:textId="77777777" w:rsidR="001529BA" w:rsidRDefault="00000000" w:rsidP="0021231B">
      <w:pPr>
        <w:pStyle w:val="a5"/>
        <w:numPr>
          <w:ilvl w:val="0"/>
          <w:numId w:val="4"/>
        </w:numPr>
        <w:suppressAutoHyphens/>
        <w:spacing w:before="0" w:line="360" w:lineRule="auto"/>
        <w:rPr>
          <w:rFonts w:ascii="Times Roman" w:hAnsi="Times Roman" w:hint="eastAsia"/>
        </w:rPr>
      </w:pPr>
      <w:r>
        <w:rPr>
          <w:rFonts w:ascii="Times Roman" w:hAnsi="Times Roman"/>
        </w:rPr>
        <w:t>Crypto can help provide basic financial services to people who are currently underserved.</w:t>
      </w:r>
    </w:p>
    <w:p w14:paraId="02045D2B" w14:textId="77777777" w:rsidR="001529BA" w:rsidRDefault="001529BA" w:rsidP="0021231B">
      <w:pPr>
        <w:pStyle w:val="a5"/>
        <w:suppressAutoHyphens/>
        <w:spacing w:before="0" w:line="360" w:lineRule="auto"/>
        <w:rPr>
          <w:rFonts w:ascii="Times Roman" w:eastAsia="Times Roman" w:hAnsi="Times Roman" w:cs="Times Roman"/>
        </w:rPr>
      </w:pPr>
    </w:p>
    <w:p w14:paraId="7C76E015" w14:textId="77777777" w:rsidR="001529BA" w:rsidRDefault="00000000" w:rsidP="0021231B">
      <w:pPr>
        <w:pStyle w:val="a5"/>
        <w:numPr>
          <w:ilvl w:val="0"/>
          <w:numId w:val="6"/>
        </w:numPr>
        <w:suppressAutoHyphens/>
        <w:spacing w:before="0" w:line="360" w:lineRule="auto"/>
        <w:rPr>
          <w:rFonts w:ascii="Times Roman" w:hAnsi="Times Roman" w:hint="eastAsia"/>
          <w:b/>
          <w:bCs/>
          <w:sz w:val="28"/>
          <w:szCs w:val="28"/>
        </w:rPr>
      </w:pPr>
      <w:r>
        <w:rPr>
          <w:rFonts w:ascii="Times Roman" w:hAnsi="Times Roman"/>
          <w:b/>
          <w:bCs/>
          <w:sz w:val="28"/>
          <w:szCs w:val="28"/>
        </w:rPr>
        <w:t>Step-by-Step Roadmap for Crypto Integration</w:t>
      </w:r>
    </w:p>
    <w:p w14:paraId="777F7EF0" w14:textId="77777777" w:rsidR="001529BA" w:rsidRDefault="00000000" w:rsidP="0021231B">
      <w:pPr>
        <w:pStyle w:val="a5"/>
        <w:suppressAutoHyphens/>
        <w:spacing w:before="0" w:after="240" w:line="360" w:lineRule="auto"/>
        <w:ind w:left="595"/>
        <w:rPr>
          <w:rFonts w:ascii="Times Roman" w:eastAsia="Times Roman" w:hAnsi="Times Roman" w:cs="Times Roman"/>
        </w:rPr>
      </w:pPr>
      <w:r>
        <w:rPr>
          <w:rFonts w:ascii="Times Roman" w:hAnsi="Times Roman"/>
          <w:b/>
          <w:bCs/>
          <w:lang w:val="it-IT"/>
        </w:rPr>
        <w:t xml:space="preserve">Step 1: Set Up a </w:t>
      </w:r>
      <w:proofErr w:type="spellStart"/>
      <w:r>
        <w:rPr>
          <w:rFonts w:ascii="Times Roman" w:hAnsi="Times Roman"/>
          <w:b/>
          <w:bCs/>
          <w:lang w:val="it-IT"/>
        </w:rPr>
        <w:t>Crypto</w:t>
      </w:r>
      <w:proofErr w:type="spellEnd"/>
      <w:r>
        <w:rPr>
          <w:rFonts w:ascii="Times Roman" w:hAnsi="Times Roman"/>
          <w:b/>
          <w:bCs/>
          <w:lang w:val="it-IT"/>
        </w:rPr>
        <w:t xml:space="preserve"> Data Space </w:t>
      </w:r>
      <w:r>
        <w:rPr>
          <w:rFonts w:ascii="Times Roman" w:eastAsia="Times Roman" w:hAnsi="Times Roman" w:cs="Times Roman"/>
        </w:rPr>
        <w:br/>
      </w:r>
      <w:r>
        <w:rPr>
          <w:rFonts w:ascii="Times Roman" w:hAnsi="Times Roman"/>
        </w:rPr>
        <w:t>This means creating a dedicated structure inside the EFDS that focuses specifically on crypto and blockchain data. It should include tools, policies, and legal frameworks to manage this kind of data effectively. The EU should involve all relevant parties—regulators, tech companies, researchers, and representatives from the crypto world. This space would act as the starting point for gathering and organizing blockchain-related information in a safe and structured way.</w:t>
      </w:r>
    </w:p>
    <w:p w14:paraId="7135B0F3" w14:textId="77777777" w:rsidR="001529BA" w:rsidRDefault="00000000" w:rsidP="0021231B">
      <w:pPr>
        <w:pStyle w:val="a5"/>
        <w:suppressAutoHyphens/>
        <w:spacing w:before="0" w:after="240" w:line="360" w:lineRule="auto"/>
        <w:ind w:left="595"/>
        <w:rPr>
          <w:rFonts w:ascii="Times Roman" w:eastAsia="Times Roman" w:hAnsi="Times Roman" w:cs="Times Roman"/>
        </w:rPr>
      </w:pPr>
      <w:r>
        <w:rPr>
          <w:rFonts w:ascii="Times Roman" w:hAnsi="Times Roman"/>
          <w:b/>
          <w:bCs/>
        </w:rPr>
        <w:t xml:space="preserve">Step 2: Create Common Formats and Definitions </w:t>
      </w:r>
      <w:r>
        <w:rPr>
          <w:rFonts w:ascii="Times Roman" w:eastAsia="Times Roman" w:hAnsi="Times Roman" w:cs="Times Roman"/>
        </w:rPr>
        <w:br/>
      </w:r>
      <w:r>
        <w:rPr>
          <w:rFonts w:ascii="Times Roman" w:hAnsi="Times Roman"/>
        </w:rPr>
        <w:t>To work smoothly across borders and platforms, crypto data needs to follow shared rules. The EU should work with global organizations to define what a crypto wallet is, how tokens are categorized (like stablecoins or NFTs), and how smart contract data is stored. This makes it easier to compare, exchange, and analyze data, and avoids misunderstandings when different systems try to talk to each other.</w:t>
      </w:r>
    </w:p>
    <w:p w14:paraId="33D24C8B" w14:textId="77777777" w:rsidR="001529BA" w:rsidRDefault="00000000" w:rsidP="0021231B">
      <w:pPr>
        <w:pStyle w:val="a5"/>
        <w:suppressAutoHyphens/>
        <w:spacing w:before="0" w:after="240" w:line="360" w:lineRule="auto"/>
        <w:ind w:left="595"/>
        <w:rPr>
          <w:rFonts w:ascii="Times Roman" w:eastAsia="Times Roman" w:hAnsi="Times Roman" w:cs="Times Roman"/>
        </w:rPr>
      </w:pPr>
      <w:r>
        <w:rPr>
          <w:rFonts w:ascii="Times Roman" w:hAnsi="Times Roman"/>
          <w:b/>
          <w:bCs/>
        </w:rPr>
        <w:t xml:space="preserve">Step 3: Make Blockchain Compatible with Privacy Rules </w:t>
      </w:r>
      <w:r>
        <w:rPr>
          <w:rFonts w:ascii="Times Roman" w:eastAsia="Times Roman" w:hAnsi="Times Roman" w:cs="Times Roman"/>
        </w:rPr>
        <w:br/>
      </w:r>
      <w:r>
        <w:rPr>
          <w:rFonts w:ascii="Times Roman" w:hAnsi="Times Roman"/>
        </w:rPr>
        <w:t xml:space="preserve">Since blockchains are permanent, they can conflict with EU laws like the GDPR that require users to be able to delete their data. One solution is to store personal data off-chain (outside </w:t>
      </w:r>
      <w:r>
        <w:rPr>
          <w:rFonts w:ascii="Times Roman" w:hAnsi="Times Roman"/>
        </w:rPr>
        <w:lastRenderedPageBreak/>
        <w:t>the blockchain) while only storing references on-chain. Privacy-enhancing technologies like zero-knowledge proofs can also help verify information without revealing personal details. The EU should offer clear guidance on how crypto companies can follow privacy laws.</w:t>
      </w:r>
    </w:p>
    <w:p w14:paraId="25CF4A7D" w14:textId="77777777" w:rsidR="001529BA" w:rsidRDefault="00000000" w:rsidP="0021231B">
      <w:pPr>
        <w:pStyle w:val="a5"/>
        <w:suppressAutoHyphens/>
        <w:spacing w:before="0" w:after="240" w:line="360" w:lineRule="auto"/>
        <w:ind w:left="595"/>
        <w:rPr>
          <w:rFonts w:ascii="Times Roman" w:eastAsia="Times Roman" w:hAnsi="Times Roman" w:cs="Times Roman"/>
        </w:rPr>
      </w:pPr>
      <w:r>
        <w:rPr>
          <w:rFonts w:ascii="Times Roman" w:hAnsi="Times Roman"/>
          <w:b/>
          <w:bCs/>
        </w:rPr>
        <w:t xml:space="preserve">Step 4: Connect Crypto to EU Digital Identity </w:t>
      </w:r>
      <w:r>
        <w:rPr>
          <w:rFonts w:ascii="Times Roman" w:eastAsia="Times Roman" w:hAnsi="Times Roman" w:cs="Times Roman"/>
        </w:rPr>
        <w:br/>
      </w:r>
      <w:r>
        <w:rPr>
          <w:rFonts w:ascii="Times Roman" w:hAnsi="Times Roman"/>
        </w:rPr>
        <w:t>The European Digital Identity Wallet is a tool that lets citizens control their personal information online. By linking crypto wallets to verified digital identities, users could prove who they are in a secure and EU-approved way. This helps with KYC (Know Your Customer) and AML (Anti-Money Laundering) requirements while still respecting user privacy. Verifiable credentials could also be used to prove someone's age or citizenship without revealing too much.</w:t>
      </w:r>
    </w:p>
    <w:p w14:paraId="1C6956A8" w14:textId="77777777" w:rsidR="001529BA" w:rsidRDefault="00000000" w:rsidP="0021231B">
      <w:pPr>
        <w:pStyle w:val="a5"/>
        <w:suppressAutoHyphens/>
        <w:spacing w:before="0" w:after="240" w:line="360" w:lineRule="auto"/>
        <w:ind w:left="595"/>
        <w:rPr>
          <w:rFonts w:ascii="Times Roman" w:eastAsia="Times Roman" w:hAnsi="Times Roman" w:cs="Times Roman"/>
        </w:rPr>
      </w:pPr>
      <w:r>
        <w:rPr>
          <w:rFonts w:ascii="Times Roman" w:hAnsi="Times Roman"/>
          <w:b/>
          <w:bCs/>
        </w:rPr>
        <w:t xml:space="preserve">Step 5: Develop Public Crypto Data Tools </w:t>
      </w:r>
      <w:r>
        <w:rPr>
          <w:rFonts w:ascii="Times Roman" w:eastAsia="Times Roman" w:hAnsi="Times Roman" w:cs="Times Roman"/>
        </w:rPr>
        <w:br/>
      </w:r>
      <w:r>
        <w:rPr>
          <w:rFonts w:ascii="Times Roman" w:hAnsi="Times Roman"/>
        </w:rPr>
        <w:t>The EU should invest in creating open-access platforms that allow users, businesses, and regulators to view and analyze crypto data. These platforms could include dashboards that track prices, trading volumes, or DeFi activity. They could also host crypto indexes like CRIX that show how the overall market is performing. Making this information freely available increases transparency and encourages innovation.</w:t>
      </w:r>
    </w:p>
    <w:p w14:paraId="102E3C2F" w14:textId="77777777" w:rsidR="001529BA" w:rsidRDefault="00000000" w:rsidP="0021231B">
      <w:pPr>
        <w:pStyle w:val="a5"/>
        <w:suppressAutoHyphens/>
        <w:spacing w:before="0" w:after="240" w:line="360" w:lineRule="auto"/>
        <w:ind w:left="595"/>
        <w:rPr>
          <w:rFonts w:ascii="Times Roman" w:eastAsia="Times Roman" w:hAnsi="Times Roman" w:cs="Times Roman"/>
        </w:rPr>
      </w:pPr>
      <w:r>
        <w:rPr>
          <w:rFonts w:ascii="Times Roman" w:hAnsi="Times Roman"/>
          <w:b/>
          <w:bCs/>
        </w:rPr>
        <w:t xml:space="preserve">Step 6: Align with Existing Laws </w:t>
      </w:r>
      <w:r>
        <w:rPr>
          <w:rFonts w:ascii="Times Roman" w:eastAsia="Times Roman" w:hAnsi="Times Roman" w:cs="Times Roman"/>
        </w:rPr>
        <w:br/>
      </w:r>
      <w:r>
        <w:rPr>
          <w:rFonts w:ascii="Times Roman" w:hAnsi="Times Roman"/>
        </w:rPr>
        <w:t xml:space="preserve">Any effort to bring crypto into the EFDS must follow current EU regulations. This includes </w:t>
      </w:r>
      <w:proofErr w:type="spellStart"/>
      <w:r>
        <w:rPr>
          <w:rFonts w:ascii="Times Roman" w:hAnsi="Times Roman"/>
        </w:rPr>
        <w:t>MiCA</w:t>
      </w:r>
      <w:proofErr w:type="spellEnd"/>
      <w:r>
        <w:rPr>
          <w:rFonts w:ascii="Times Roman" w:hAnsi="Times Roman"/>
        </w:rPr>
        <w:t>, which sets rules for crypto assets and service providers; the Data Act, which governs how data is accessed and shared; and laws related to anti-money laundering and cybersecurity. The EU should also prepare to enforce the Transfer of Funds Regulation, which tracks who is sending and receiving crypto transfers.</w:t>
      </w:r>
    </w:p>
    <w:p w14:paraId="58C77FAF" w14:textId="77777777" w:rsidR="001529BA" w:rsidRDefault="00000000" w:rsidP="0021231B">
      <w:pPr>
        <w:pStyle w:val="a5"/>
        <w:numPr>
          <w:ilvl w:val="0"/>
          <w:numId w:val="2"/>
        </w:numPr>
        <w:suppressAutoHyphens/>
        <w:spacing w:before="0" w:line="360" w:lineRule="auto"/>
        <w:rPr>
          <w:rFonts w:ascii="Times Roman" w:hAnsi="Times Roman" w:hint="eastAsia"/>
          <w:b/>
          <w:bCs/>
          <w:sz w:val="28"/>
          <w:szCs w:val="28"/>
        </w:rPr>
      </w:pPr>
      <w:r>
        <w:rPr>
          <w:rFonts w:ascii="Times Roman" w:hAnsi="Times Roman"/>
          <w:b/>
          <w:bCs/>
          <w:sz w:val="28"/>
          <w:szCs w:val="28"/>
        </w:rPr>
        <w:t>Making the Roadmap Work</w:t>
      </w:r>
    </w:p>
    <w:p w14:paraId="787A47A5" w14:textId="77777777" w:rsidR="001529BA" w:rsidRDefault="00000000" w:rsidP="0021231B">
      <w:pPr>
        <w:pStyle w:val="a5"/>
        <w:suppressAutoHyphens/>
        <w:spacing w:before="0" w:line="360" w:lineRule="auto"/>
        <w:ind w:left="595"/>
        <w:rPr>
          <w:rFonts w:ascii="Times Roman" w:eastAsia="Times Roman" w:hAnsi="Times Roman" w:cs="Times Roman"/>
        </w:rPr>
      </w:pPr>
      <w:r>
        <w:rPr>
          <w:rFonts w:ascii="Times Roman" w:hAnsi="Times Roman"/>
        </w:rPr>
        <w:t>This plan aligns with existing EU regulations:</w:t>
      </w:r>
    </w:p>
    <w:p w14:paraId="061B7470" w14:textId="77777777" w:rsidR="001529BA" w:rsidRDefault="00000000" w:rsidP="0021231B">
      <w:pPr>
        <w:pStyle w:val="a5"/>
        <w:numPr>
          <w:ilvl w:val="0"/>
          <w:numId w:val="4"/>
        </w:numPr>
        <w:suppressAutoHyphens/>
        <w:spacing w:before="0" w:line="360" w:lineRule="auto"/>
        <w:rPr>
          <w:rFonts w:ascii="Times Roman" w:hAnsi="Times Roman" w:hint="eastAsia"/>
        </w:rPr>
      </w:pPr>
      <w:proofErr w:type="spellStart"/>
      <w:r>
        <w:rPr>
          <w:rFonts w:ascii="Times Roman" w:hAnsi="Times Roman"/>
        </w:rPr>
        <w:t>MiCA</w:t>
      </w:r>
      <w:proofErr w:type="spellEnd"/>
      <w:r>
        <w:rPr>
          <w:rFonts w:ascii="Times Roman" w:hAnsi="Times Roman"/>
        </w:rPr>
        <w:t>: Defines rules for crypto tokens, issuers, and exchanges.</w:t>
      </w:r>
    </w:p>
    <w:p w14:paraId="664EAAF3" w14:textId="77777777" w:rsidR="001529BA" w:rsidRDefault="00000000" w:rsidP="0021231B">
      <w:pPr>
        <w:pStyle w:val="a5"/>
        <w:numPr>
          <w:ilvl w:val="0"/>
          <w:numId w:val="4"/>
        </w:numPr>
        <w:suppressAutoHyphens/>
        <w:spacing w:before="0" w:line="360" w:lineRule="auto"/>
        <w:rPr>
          <w:rFonts w:ascii="Times Roman" w:hAnsi="Times Roman" w:hint="eastAsia"/>
        </w:rPr>
      </w:pPr>
      <w:r>
        <w:rPr>
          <w:rFonts w:ascii="Times Roman" w:hAnsi="Times Roman"/>
        </w:rPr>
        <w:t>FIDA: Gives people control over their personal financial data, including crypto.</w:t>
      </w:r>
    </w:p>
    <w:p w14:paraId="73012A4E" w14:textId="77777777" w:rsidR="001529BA" w:rsidRDefault="00000000" w:rsidP="0021231B">
      <w:pPr>
        <w:pStyle w:val="a5"/>
        <w:numPr>
          <w:ilvl w:val="0"/>
          <w:numId w:val="4"/>
        </w:numPr>
        <w:suppressAutoHyphens/>
        <w:spacing w:before="0" w:line="360" w:lineRule="auto"/>
        <w:rPr>
          <w:rFonts w:ascii="Times Roman" w:hAnsi="Times Roman" w:hint="eastAsia"/>
        </w:rPr>
      </w:pPr>
      <w:r>
        <w:rPr>
          <w:rFonts w:ascii="Times Roman" w:hAnsi="Times Roman"/>
        </w:rPr>
        <w:t>DORA: Ensures financial services are resilient to cyber threats.</w:t>
      </w:r>
    </w:p>
    <w:p w14:paraId="0EC0E01C" w14:textId="77777777" w:rsidR="001529BA" w:rsidRDefault="00000000" w:rsidP="0021231B">
      <w:pPr>
        <w:pStyle w:val="a5"/>
        <w:numPr>
          <w:ilvl w:val="0"/>
          <w:numId w:val="4"/>
        </w:numPr>
        <w:suppressAutoHyphens/>
        <w:spacing w:before="0" w:line="360" w:lineRule="auto"/>
        <w:rPr>
          <w:rFonts w:ascii="Times Roman" w:hAnsi="Times Roman" w:hint="eastAsia"/>
        </w:rPr>
      </w:pPr>
      <w:r>
        <w:rPr>
          <w:rFonts w:ascii="Times Roman" w:hAnsi="Times Roman"/>
        </w:rPr>
        <w:t>Data Act and Data Governance Act: Set the ground rules for fair and safe data use.</w:t>
      </w:r>
    </w:p>
    <w:p w14:paraId="186249B2" w14:textId="77777777" w:rsidR="001529BA" w:rsidRDefault="001529BA" w:rsidP="0021231B">
      <w:pPr>
        <w:pStyle w:val="a5"/>
        <w:suppressAutoHyphens/>
        <w:spacing w:before="0" w:line="360" w:lineRule="auto"/>
        <w:rPr>
          <w:rFonts w:ascii="Times Roman" w:eastAsia="Times Roman" w:hAnsi="Times Roman" w:cs="Times Roman"/>
        </w:rPr>
      </w:pPr>
    </w:p>
    <w:p w14:paraId="0DB1FBFF" w14:textId="77777777" w:rsidR="001529BA" w:rsidRDefault="00000000" w:rsidP="0021231B">
      <w:pPr>
        <w:pStyle w:val="a5"/>
        <w:numPr>
          <w:ilvl w:val="0"/>
          <w:numId w:val="7"/>
        </w:numPr>
        <w:suppressAutoHyphens/>
        <w:spacing w:before="0" w:line="360" w:lineRule="auto"/>
        <w:rPr>
          <w:rFonts w:ascii="Times Roman" w:hAnsi="Times Roman" w:hint="eastAsia"/>
          <w:b/>
          <w:bCs/>
          <w:sz w:val="28"/>
          <w:szCs w:val="28"/>
        </w:rPr>
      </w:pPr>
      <w:r>
        <w:rPr>
          <w:rFonts w:ascii="Times Roman" w:hAnsi="Times Roman"/>
          <w:b/>
          <w:bCs/>
          <w:sz w:val="28"/>
          <w:szCs w:val="28"/>
        </w:rPr>
        <w:t>Recommendations</w:t>
      </w:r>
    </w:p>
    <w:p w14:paraId="001D204F" w14:textId="77777777" w:rsidR="001529BA" w:rsidRDefault="00000000" w:rsidP="0021231B">
      <w:pPr>
        <w:pStyle w:val="a5"/>
        <w:numPr>
          <w:ilvl w:val="0"/>
          <w:numId w:val="4"/>
        </w:numPr>
        <w:suppressAutoHyphens/>
        <w:spacing w:before="0" w:line="360" w:lineRule="auto"/>
        <w:rPr>
          <w:rFonts w:ascii="Times Roman" w:hAnsi="Times Roman" w:hint="eastAsia"/>
        </w:rPr>
      </w:pPr>
      <w:r>
        <w:rPr>
          <w:rFonts w:ascii="Times Roman" w:hAnsi="Times Roman"/>
        </w:rPr>
        <w:t>Launch a crypto-focused working group to lead integration efforts under DG FISMA.</w:t>
      </w:r>
    </w:p>
    <w:p w14:paraId="786D32CA" w14:textId="77777777" w:rsidR="001529BA" w:rsidRDefault="00000000" w:rsidP="0021231B">
      <w:pPr>
        <w:pStyle w:val="a5"/>
        <w:numPr>
          <w:ilvl w:val="0"/>
          <w:numId w:val="4"/>
        </w:numPr>
        <w:suppressAutoHyphens/>
        <w:spacing w:before="0" w:line="360" w:lineRule="auto"/>
        <w:rPr>
          <w:rFonts w:ascii="Times Roman" w:hAnsi="Times Roman" w:hint="eastAsia"/>
        </w:rPr>
      </w:pPr>
      <w:r>
        <w:rPr>
          <w:rFonts w:ascii="Times Roman" w:hAnsi="Times Roman"/>
        </w:rPr>
        <w:t>Build sandbox environments to test crypto reporting tools and data-sharing systems.</w:t>
      </w:r>
    </w:p>
    <w:p w14:paraId="10426327" w14:textId="77777777" w:rsidR="001529BA" w:rsidRDefault="00000000" w:rsidP="0021231B">
      <w:pPr>
        <w:pStyle w:val="a5"/>
        <w:numPr>
          <w:ilvl w:val="0"/>
          <w:numId w:val="4"/>
        </w:numPr>
        <w:suppressAutoHyphens/>
        <w:spacing w:before="0" w:line="360" w:lineRule="auto"/>
        <w:rPr>
          <w:rFonts w:ascii="Times Roman" w:hAnsi="Times Roman" w:hint="eastAsia"/>
        </w:rPr>
      </w:pPr>
      <w:r>
        <w:rPr>
          <w:rFonts w:ascii="Times Roman" w:hAnsi="Times Roman"/>
        </w:rPr>
        <w:lastRenderedPageBreak/>
        <w:t>Offer benefits (like funding or simplified reporting) to companies that participate early.</w:t>
      </w:r>
    </w:p>
    <w:p w14:paraId="5DE282F1" w14:textId="77777777" w:rsidR="001529BA" w:rsidRDefault="00000000" w:rsidP="0021231B">
      <w:pPr>
        <w:pStyle w:val="a5"/>
        <w:numPr>
          <w:ilvl w:val="0"/>
          <w:numId w:val="4"/>
        </w:numPr>
        <w:suppressAutoHyphens/>
        <w:spacing w:before="0" w:line="360" w:lineRule="auto"/>
        <w:rPr>
          <w:rFonts w:ascii="Times Roman" w:hAnsi="Times Roman" w:hint="eastAsia"/>
        </w:rPr>
      </w:pPr>
      <w:r>
        <w:rPr>
          <w:rFonts w:ascii="Times Roman" w:hAnsi="Times Roman"/>
        </w:rPr>
        <w:t>Encourage collaboration with other sectors, like energy or healthcare, to enable cross-sector innovation.</w:t>
      </w:r>
    </w:p>
    <w:p w14:paraId="55C64518" w14:textId="77777777" w:rsidR="001529BA" w:rsidRDefault="00000000" w:rsidP="0021231B">
      <w:pPr>
        <w:pStyle w:val="a5"/>
        <w:numPr>
          <w:ilvl w:val="0"/>
          <w:numId w:val="4"/>
        </w:numPr>
        <w:suppressAutoHyphens/>
        <w:spacing w:before="0" w:line="360" w:lineRule="auto"/>
        <w:rPr>
          <w:rFonts w:ascii="Times Roman" w:hAnsi="Times Roman" w:hint="eastAsia"/>
        </w:rPr>
      </w:pPr>
      <w:r>
        <w:rPr>
          <w:rFonts w:ascii="Times Roman" w:hAnsi="Times Roman"/>
        </w:rPr>
        <w:t>Keep the process open—host workshops, publish updates, and engage stakeholders regularly.</w:t>
      </w:r>
    </w:p>
    <w:p w14:paraId="325598FD" w14:textId="77777777" w:rsidR="001529BA" w:rsidRDefault="001529BA" w:rsidP="0021231B">
      <w:pPr>
        <w:pStyle w:val="a5"/>
        <w:suppressAutoHyphens/>
        <w:spacing w:before="0" w:line="360" w:lineRule="auto"/>
        <w:rPr>
          <w:rFonts w:ascii="Times Roman" w:eastAsia="Times Roman" w:hAnsi="Times Roman" w:cs="Times Roman"/>
        </w:rPr>
      </w:pPr>
    </w:p>
    <w:p w14:paraId="18DAF1A3" w14:textId="77777777" w:rsidR="001529BA" w:rsidRDefault="00000000" w:rsidP="0021231B">
      <w:pPr>
        <w:pStyle w:val="a5"/>
        <w:numPr>
          <w:ilvl w:val="0"/>
          <w:numId w:val="8"/>
        </w:numPr>
        <w:suppressAutoHyphens/>
        <w:spacing w:before="0" w:line="360" w:lineRule="auto"/>
        <w:rPr>
          <w:rFonts w:ascii="Times Roman" w:hAnsi="Times Roman" w:hint="eastAsia"/>
          <w:b/>
          <w:bCs/>
          <w:sz w:val="28"/>
          <w:szCs w:val="28"/>
        </w:rPr>
      </w:pPr>
      <w:r>
        <w:rPr>
          <w:rFonts w:ascii="Times Roman" w:hAnsi="Times Roman"/>
          <w:b/>
          <w:bCs/>
          <w:sz w:val="28"/>
          <w:szCs w:val="28"/>
        </w:rPr>
        <w:t>Final Thoughts</w:t>
      </w:r>
    </w:p>
    <w:p w14:paraId="2274B7E2" w14:textId="77777777" w:rsidR="001529BA" w:rsidRDefault="00000000" w:rsidP="0021231B">
      <w:pPr>
        <w:pStyle w:val="a5"/>
        <w:suppressAutoHyphens/>
        <w:spacing w:before="0" w:line="360" w:lineRule="auto"/>
        <w:ind w:left="595"/>
        <w:rPr>
          <w:rFonts w:ascii="Times Roman" w:eastAsia="Times Roman" w:hAnsi="Times Roman" w:cs="Times Roman"/>
        </w:rPr>
      </w:pPr>
      <w:r>
        <w:rPr>
          <w:rFonts w:ascii="Times Roman" w:hAnsi="Times Roman"/>
        </w:rPr>
        <w:t>Crypto and blockchain technologies are transforming the financial world. To keep pace and lead responsibly, the EU must integrate these technologies into its data ecosystem. With careful planning, strong legal alignment, and open collaboration, the European Financial Data Space can become the global model for trustworthy and inclusive digital finance.</w:t>
      </w:r>
    </w:p>
    <w:p w14:paraId="72BF1F62" w14:textId="77777777" w:rsidR="001529BA" w:rsidRDefault="001529BA" w:rsidP="0021231B">
      <w:pPr>
        <w:pStyle w:val="a5"/>
        <w:suppressAutoHyphens/>
        <w:spacing w:before="0" w:line="240" w:lineRule="auto"/>
        <w:rPr>
          <w:rFonts w:ascii="Times New Roman" w:eastAsia="Times New Roman" w:hAnsi="Times New Roman" w:cs="Times New Roman"/>
          <w:b/>
          <w:bCs/>
          <w:sz w:val="36"/>
          <w:szCs w:val="36"/>
        </w:rPr>
      </w:pPr>
    </w:p>
    <w:p w14:paraId="2923DAFA" w14:textId="77777777" w:rsidR="001529BA" w:rsidRDefault="00000000" w:rsidP="0021231B">
      <w:pPr>
        <w:pStyle w:val="a5"/>
        <w:numPr>
          <w:ilvl w:val="0"/>
          <w:numId w:val="2"/>
        </w:numPr>
        <w:suppressAutoHyphens/>
        <w:spacing w:before="0" w:line="360" w:lineRule="auto"/>
        <w:rPr>
          <w:rFonts w:ascii="Times Roman" w:hAnsi="Times Roman" w:hint="eastAsia"/>
          <w:b/>
          <w:bCs/>
          <w:sz w:val="28"/>
          <w:szCs w:val="28"/>
        </w:rPr>
      </w:pPr>
      <w:r>
        <w:rPr>
          <w:rFonts w:ascii="Times Roman" w:hAnsi="Times Roman"/>
          <w:b/>
          <w:bCs/>
          <w:sz w:val="28"/>
          <w:szCs w:val="28"/>
        </w:rPr>
        <w:t>References</w:t>
      </w:r>
    </w:p>
    <w:p w14:paraId="5F9483B5" w14:textId="77777777" w:rsidR="001529BA" w:rsidRDefault="00000000" w:rsidP="0021231B">
      <w:pPr>
        <w:pStyle w:val="a5"/>
        <w:numPr>
          <w:ilvl w:val="0"/>
          <w:numId w:val="4"/>
        </w:numPr>
        <w:suppressAutoHyphens/>
        <w:spacing w:before="0" w:line="360" w:lineRule="auto"/>
        <w:rPr>
          <w:rFonts w:ascii="Times Roman" w:eastAsia="Times Roman" w:hAnsi="Times Roman" w:cs="Times Roman"/>
        </w:rPr>
      </w:pPr>
      <w:hyperlink r:id="rId7" w:history="1">
        <w:r>
          <w:rPr>
            <w:rStyle w:val="Hyperlink0"/>
            <w:rFonts w:ascii="Times Roman" w:hAnsi="Times Roman"/>
          </w:rPr>
          <w:t>Webinar - Data spaces: experience from the European Financial Data Space</w:t>
        </w:r>
      </w:hyperlink>
    </w:p>
    <w:p w14:paraId="5F8D9D41" w14:textId="77777777" w:rsidR="001529BA" w:rsidRDefault="00000000" w:rsidP="0021231B">
      <w:pPr>
        <w:pStyle w:val="a5"/>
        <w:numPr>
          <w:ilvl w:val="0"/>
          <w:numId w:val="4"/>
        </w:numPr>
        <w:suppressAutoHyphens/>
        <w:spacing w:before="0" w:line="360" w:lineRule="auto"/>
        <w:rPr>
          <w:rFonts w:ascii="Times Roman" w:eastAsia="Times Roman" w:hAnsi="Times Roman" w:cs="Times Roman"/>
        </w:rPr>
      </w:pPr>
      <w:hyperlink r:id="rId8" w:history="1">
        <w:r>
          <w:rPr>
            <w:rStyle w:val="Hyperlink0"/>
            <w:rFonts w:ascii="Times Roman" w:hAnsi="Times Roman"/>
          </w:rPr>
          <w:t>Webinar - Data spaces: experience from the European Financial Data Space (Slides)</w:t>
        </w:r>
      </w:hyperlink>
    </w:p>
    <w:sectPr w:rsidR="001529BA">
      <w:headerReference w:type="default" r:id="rId9"/>
      <w:footerReference w:type="default" r:id="rId10"/>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952066" w14:textId="77777777" w:rsidR="003A3EAC" w:rsidRDefault="003A3EAC">
      <w:pPr>
        <w:spacing w:line="240" w:lineRule="auto"/>
      </w:pPr>
      <w:r>
        <w:separator/>
      </w:r>
    </w:p>
  </w:endnote>
  <w:endnote w:type="continuationSeparator" w:id="0">
    <w:p w14:paraId="05039082" w14:textId="77777777" w:rsidR="003A3EAC" w:rsidRDefault="003A3E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Roman">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ingFang TC Regular">
    <w:altName w:val="PingFang TC"/>
    <w:panose1 w:val="020B0400000000000000"/>
    <w:charset w:val="00"/>
    <w:family w:val="roman"/>
    <w:pitch w:val="default"/>
  </w:font>
  <w:font w:name="細明體">
    <w:altName w:val="MingLiU"/>
    <w:panose1 w:val="02020509000000000000"/>
    <w:charset w:val="88"/>
    <w:family w:val="modern"/>
    <w:pitch w:val="fixed"/>
    <w:sig w:usb0="A00002FF" w:usb1="28CFFCFA" w:usb2="00000016" w:usb3="00000000" w:csb0="00100001" w:csb1="00000000"/>
  </w:font>
  <w:font w:name="PingFang TC Semibold">
    <w:altName w:val="Cambria"/>
    <w:panose1 w:val="020B0800000000000000"/>
    <w:charset w:val="00"/>
    <w:family w:val="roman"/>
    <w:notTrueType/>
    <w:pitch w:val="default"/>
  </w:font>
  <w:font w:name="新細明體">
    <w:altName w:val="PMingLiU"/>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E26CC" w14:textId="77777777" w:rsidR="001529BA" w:rsidRDefault="001529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BC410D" w14:textId="77777777" w:rsidR="003A3EAC" w:rsidRDefault="003A3EAC">
      <w:pPr>
        <w:spacing w:line="240" w:lineRule="auto"/>
      </w:pPr>
      <w:r>
        <w:separator/>
      </w:r>
    </w:p>
  </w:footnote>
  <w:footnote w:type="continuationSeparator" w:id="0">
    <w:p w14:paraId="264A7258" w14:textId="77777777" w:rsidR="003A3EAC" w:rsidRDefault="003A3E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9A338" w14:textId="77777777" w:rsidR="001529BA" w:rsidRDefault="001529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B2075A"/>
    <w:multiLevelType w:val="hybridMultilevel"/>
    <w:tmpl w:val="4DA2A412"/>
    <w:styleLink w:val="1"/>
    <w:lvl w:ilvl="0" w:tplc="ECE46C82">
      <w:start w:val="1"/>
      <w:numFmt w:val="bullet"/>
      <w:lvlText w:val="•"/>
      <w:lvlJc w:val="left"/>
      <w:pPr>
        <w:ind w:left="992" w:hanging="397"/>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1" w:tplc="2E4EBC20">
      <w:start w:val="1"/>
      <w:numFmt w:val="bullet"/>
      <w:lvlText w:val="•"/>
      <w:lvlJc w:val="left"/>
      <w:pPr>
        <w:ind w:left="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2" w:tplc="C464E76A">
      <w:start w:val="1"/>
      <w:numFmt w:val="bullet"/>
      <w:lvlText w:val="•"/>
      <w:lvlJc w:val="left"/>
      <w:pPr>
        <w:ind w:left="11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3" w:tplc="55922EB8">
      <w:start w:val="1"/>
      <w:numFmt w:val="bullet"/>
      <w:lvlText w:val="•"/>
      <w:lvlJc w:val="left"/>
      <w:pPr>
        <w:ind w:left="1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4" w:tplc="8FB47D36">
      <w:start w:val="1"/>
      <w:numFmt w:val="bullet"/>
      <w:lvlText w:val="•"/>
      <w:lvlJc w:val="left"/>
      <w:pPr>
        <w:ind w:left="16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5" w:tplc="EB6C446C">
      <w:start w:val="1"/>
      <w:numFmt w:val="bullet"/>
      <w:lvlText w:val="•"/>
      <w:lvlJc w:val="left"/>
      <w:pPr>
        <w:ind w:left="1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6" w:tplc="2FBEF534">
      <w:start w:val="1"/>
      <w:numFmt w:val="bullet"/>
      <w:lvlText w:val="•"/>
      <w:lvlJc w:val="left"/>
      <w:pPr>
        <w:ind w:left="20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7" w:tplc="53402292">
      <w:start w:val="1"/>
      <w:numFmt w:val="bullet"/>
      <w:lvlText w:val="•"/>
      <w:lvlJc w:val="left"/>
      <w:pPr>
        <w:ind w:left="2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8" w:tplc="BD8E6C28">
      <w:start w:val="1"/>
      <w:numFmt w:val="bullet"/>
      <w:lvlText w:val="•"/>
      <w:lvlJc w:val="left"/>
      <w:pPr>
        <w:ind w:left="24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339A5A94"/>
    <w:multiLevelType w:val="hybridMultilevel"/>
    <w:tmpl w:val="7046BC92"/>
    <w:numStyleLink w:val="a"/>
  </w:abstractNum>
  <w:abstractNum w:abstractNumId="2" w15:restartNumberingAfterBreak="0">
    <w:nsid w:val="372F56B5"/>
    <w:multiLevelType w:val="hybridMultilevel"/>
    <w:tmpl w:val="7046BC92"/>
    <w:styleLink w:val="a"/>
    <w:lvl w:ilvl="0" w:tplc="B38465CC">
      <w:start w:val="1"/>
      <w:numFmt w:val="decimal"/>
      <w:lvlText w:val="%1."/>
      <w:lvlJc w:val="left"/>
      <w:pPr>
        <w:ind w:left="595" w:hanging="397"/>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1" w:tplc="D12E5536">
      <w:start w:val="1"/>
      <w:numFmt w:val="decimal"/>
      <w:lvlText w:val="%2."/>
      <w:lvlJc w:val="left"/>
      <w:pPr>
        <w:ind w:left="1023" w:hanging="583"/>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2" w:tplc="61B02BB2">
      <w:start w:val="1"/>
      <w:numFmt w:val="decimal"/>
      <w:lvlText w:val="%3."/>
      <w:lvlJc w:val="left"/>
      <w:pPr>
        <w:ind w:left="1243" w:hanging="583"/>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3" w:tplc="A634A154">
      <w:start w:val="1"/>
      <w:numFmt w:val="decimal"/>
      <w:lvlText w:val="%4."/>
      <w:lvlJc w:val="left"/>
      <w:pPr>
        <w:ind w:left="1463" w:hanging="583"/>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4" w:tplc="80BC1AA8">
      <w:start w:val="1"/>
      <w:numFmt w:val="decimal"/>
      <w:lvlText w:val="%5."/>
      <w:lvlJc w:val="left"/>
      <w:pPr>
        <w:ind w:left="1683" w:hanging="583"/>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5" w:tplc="E47E7220">
      <w:start w:val="1"/>
      <w:numFmt w:val="decimal"/>
      <w:lvlText w:val="%6."/>
      <w:lvlJc w:val="left"/>
      <w:pPr>
        <w:ind w:left="1903" w:hanging="583"/>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6" w:tplc="A80667A0">
      <w:start w:val="1"/>
      <w:numFmt w:val="decimal"/>
      <w:lvlText w:val="%7."/>
      <w:lvlJc w:val="left"/>
      <w:pPr>
        <w:ind w:left="2123" w:hanging="583"/>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7" w:tplc="F0D6E98E">
      <w:start w:val="1"/>
      <w:numFmt w:val="decimal"/>
      <w:lvlText w:val="%8."/>
      <w:lvlJc w:val="left"/>
      <w:pPr>
        <w:ind w:left="2343" w:hanging="583"/>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8" w:tplc="9D4A8564">
      <w:start w:val="1"/>
      <w:numFmt w:val="decimal"/>
      <w:lvlText w:val="%9."/>
      <w:lvlJc w:val="left"/>
      <w:pPr>
        <w:ind w:left="2563" w:hanging="583"/>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603771CF"/>
    <w:multiLevelType w:val="hybridMultilevel"/>
    <w:tmpl w:val="4DA2A412"/>
    <w:numStyleLink w:val="1"/>
  </w:abstractNum>
  <w:num w:numId="1" w16cid:durableId="1525827393">
    <w:abstractNumId w:val="2"/>
  </w:num>
  <w:num w:numId="2" w16cid:durableId="1500463843">
    <w:abstractNumId w:val="1"/>
  </w:num>
  <w:num w:numId="3" w16cid:durableId="1643577517">
    <w:abstractNumId w:val="0"/>
  </w:num>
  <w:num w:numId="4" w16cid:durableId="1468744680">
    <w:abstractNumId w:val="3"/>
  </w:num>
  <w:num w:numId="5" w16cid:durableId="1196583015">
    <w:abstractNumId w:val="1"/>
    <w:lvlOverride w:ilvl="0">
      <w:startOverride w:val="3"/>
    </w:lvlOverride>
  </w:num>
  <w:num w:numId="6" w16cid:durableId="145630927">
    <w:abstractNumId w:val="1"/>
    <w:lvlOverride w:ilvl="0">
      <w:startOverride w:val="4"/>
    </w:lvlOverride>
  </w:num>
  <w:num w:numId="7" w16cid:durableId="1409838009">
    <w:abstractNumId w:val="1"/>
    <w:lvlOverride w:ilvl="0">
      <w:startOverride w:val="6"/>
    </w:lvlOverride>
  </w:num>
  <w:num w:numId="8" w16cid:durableId="1868059431">
    <w:abstractNumId w:val="1"/>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9BA"/>
    <w:rsid w:val="001529BA"/>
    <w:rsid w:val="0021231B"/>
    <w:rsid w:val="00393A88"/>
    <w:rsid w:val="003A3EA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F9DAA10"/>
  <w15:docId w15:val="{0C20FFE2-B245-B343-9020-A28D4CC3E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zh-T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spacing w:line="288" w:lineRule="auto"/>
    </w:pPr>
    <w:rPr>
      <w:rFonts w:cs="Arial Unicode MS"/>
      <w:color w:val="000000"/>
      <w:sz w:val="28"/>
      <w:szCs w:val="28"/>
      <w14:textOutline w14:w="0" w14:cap="flat" w14:cmpd="sng" w14:algn="ctr">
        <w14:noFill/>
        <w14:prstDash w14:val="solid"/>
        <w14:bevel/>
      </w14:textOutli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5">
    <w:name w:val="預設值"/>
    <w:pPr>
      <w:spacing w:before="160" w:line="288" w:lineRule="auto"/>
    </w:pPr>
    <w:rPr>
      <w:rFonts w:ascii="PingFang TC Regular" w:hAnsi="PingFang TC Regular" w:cs="Arial Unicode MS"/>
      <w:color w:val="000000"/>
      <w:sz w:val="24"/>
      <w:szCs w:val="24"/>
      <w14:textOutline w14:w="0" w14:cap="flat" w14:cmpd="sng" w14:algn="ctr">
        <w14:noFill/>
        <w14:prstDash w14:val="solid"/>
        <w14:bevel/>
      </w14:textOutline>
    </w:rPr>
  </w:style>
  <w:style w:type="numbering" w:customStyle="1" w:styleId="a">
    <w:name w:val="編號"/>
    <w:pPr>
      <w:numPr>
        <w:numId w:val="1"/>
      </w:numPr>
    </w:pPr>
  </w:style>
  <w:style w:type="numbering" w:customStyle="1" w:styleId="1">
    <w:name w:val="項目符號1"/>
    <w:pPr>
      <w:numPr>
        <w:numId w:val="3"/>
      </w:numPr>
    </w:pPr>
  </w:style>
  <w:style w:type="character" w:customStyle="1" w:styleId="Hyperlink0">
    <w:name w:val="Hyperlink.0"/>
    <w:basedOn w:val="a4"/>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ata.europa.eu/sites/default/files/course/Webinar%20financial%20data%20space%20-%20Slides.pdf" TargetMode="External"/><Relationship Id="rId3" Type="http://schemas.openxmlformats.org/officeDocument/2006/relationships/settings" Target="settings.xml"/><Relationship Id="rId7" Type="http://schemas.openxmlformats.org/officeDocument/2006/relationships/hyperlink" Target="https://www.youtube.com/watch?feature=shared&amp;v=LKx9KvBkT5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TC Semibold"/>
        <a:ea typeface="細明體"/>
        <a:cs typeface="PingFang TC Semibold"/>
      </a:majorFont>
      <a:minorFont>
        <a:latin typeface="PingFang TC Regular"/>
        <a:ea typeface="新細明體"/>
        <a:cs typeface="PingFang T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PingFang TC Medium"/>
            <a:ea typeface="PingFang TC Medium"/>
            <a:cs typeface="PingFang TC Medium"/>
            <a:sym typeface="PingFang TC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0"/>
          </a:spcBef>
          <a:spcAft>
            <a:spcPts val="0"/>
          </a:spcAft>
          <a:buClrTx/>
          <a:buSzTx/>
          <a:buFontTx/>
          <a:buNone/>
          <a:tabLst/>
          <a:defRPr kumimoji="0" sz="14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1140</Words>
  <Characters>6498</Characters>
  <Application>Microsoft Office Word</Application>
  <DocSecurity>0</DocSecurity>
  <Lines>54</Lines>
  <Paragraphs>15</Paragraphs>
  <ScaleCrop>false</ScaleCrop>
  <Company/>
  <LinksUpToDate>false</LinksUpToDate>
  <CharactersWithSpaces>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翔澧 鄭</cp:lastModifiedBy>
  <cp:revision>2</cp:revision>
  <dcterms:created xsi:type="dcterms:W3CDTF">2025-04-19T20:05:00Z</dcterms:created>
  <dcterms:modified xsi:type="dcterms:W3CDTF">2025-04-19T20:06:00Z</dcterms:modified>
</cp:coreProperties>
</file>