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Estructural e Informes Técnicos mediante Esclerometría: Fundamentos Físicos, Lineamientos de la NSR-10 y Exigencias Normativas NTC e ISO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Introducción a la Evaluación No Destructiva del Concreto Endurecido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caracterización de los materiales en las estructuras de concreto reforzado constituye uno de los pilares fundamentales de la ingeniería civil moderna, la patología de la construcción y el aseguramiento de la calidad. Tradicionalmente, la verificación de la resistencia a la compresión del concreto se ha basado en el ensayo destructivo de cilindros estandarizados, fundidos en obra y curados bajo condiciones de laboratorio. No obstante, la necesidad de evaluar el material in situ, ya sea para monitorear el desarrollo de la resistencia temprana, para investigar resultados anómalos de probetas o para diagnosticar la capacidad remanente de estructuras existentes, ha impulsado el desarrollo y la estandarización de métodos de ensayos no destructivos. Entre estos, la esclerometría, comúnmente conocida como el ensayo del martillo de rebote o martillo de Schmidt, destaca como la herramienta de inspección más extendida a nivel global debido a su portabilidad, economía y rapidez de ejecución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Desarrollado en 1948 por el ingeniero suizo Ernst Schmidt, este instrumento empírico fundamenta su operación en los principios de la mecánica de impacto y la transferencia de energía elástica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premisa subyacente establece que el rebote de una masa elástica que impacta contra una superficie sólida es directamente proporcional a la dureza superficial de dicha matriz. En el caso del concreto, esta dureza superficial guarda una correlación indirecta con sus propiedades mecánicas internas, específicamente con su resistencia a la compresión, densidad y rigidez</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Sin embargo, a pesar de su aparente simplicidad operativa, la esclerometría es un ensayo altamente sensible a múltiples variables de contorno. Una interpretación ingenua de sus resultados, omitiendo las calibraciones locales o ignorando los factores ambientales y químicos que alteran la superficie del concreto, puede derivar en sobrestimaciones peligrosas de la resistencia estructural, comprometiendo gravemente la seguridad de las edificaciones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mitigar estos riesgos y estandarizar la práctica profesional, la ejecución de la esclerometría y la subsiguiente emisión de informes técnicos están regidas por un marco normativo estricto. En el contexto de la República de Colombia, el uso y las limitaciones de este ensayo están delimitados jurídicamente por el Reglamento Colombiano de Construcción Sismo Resistente (NSR-10)</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Desde el punto de vista metrológico y procedimental, la técnica se rige por la Norma Técnica Colombiana (NTC) 3692, homóloga de la norma estadounidense ASTM C805, así como por su equivalente internacional, la norma ISO 1920-7</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Adicionalmente, la estructuración, trazabilidad y validez jurídica de los informes emitidos por laboratorios de ensayo deben ajustarse inexorablemente a los requisitos de gestión de calidad delineados en la norma ISO/IEC 17025, vigilada en el país por el Organismo Nacional de Acreditación de Colombia (ONAC)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informe técnico despliega un análisis exhaustivo de todos los elementos que deben considerarse al momento de planificar, ejecutar e informar sobre campañas de esclerometría. Se abordarán los fundamentos termodinámicos del equipo, las restricciones regulatorias de la NSR-10, los rigurosos procedimientos de preparación superficial y depuración estadística exigidos por la NTC 3692 y la ISO 1920-7, los modelos matemáticos de correlación y métodos combinados (SonReb), y los requerimientos documentales precisos para la estructuración de informes bajo los estándares ISO 17025.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Principios Físicos e Instrumentación Metrológica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funcionamiento del martillo de rebote se basa en la ley de la conservación de la energía. El dispositivo consta de una carcasa cilíndrica que alberga un sistema de percusión accionado por resortes. Al presionar el émbolo del instrumento contra la superficie de concreto, un resorte calibrado acumula energía potencial elástica, descrita por la ecuación de Hooke </w:t>
      </w:r>
      <w:r w:rsidDel="00000000" w:rsidR="00000000" w:rsidRPr="00000000">
        <w:rPr>
          <w:rFonts w:ascii="Google Sans" w:cs="Google Sans" w:eastAsia="Google Sans" w:hAnsi="Google Sans"/>
          <w:color w:val="1f1f1f"/>
        </w:rPr>
        <w:drawing>
          <wp:inline distB="19050" distT="19050" distL="19050" distR="19050">
            <wp:extent cx="898625" cy="248556"/>
            <wp:effectExtent b="0" l="0" r="0" t="0"/>
            <wp:docPr id="32"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898625" cy="248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08198" cy="255741"/>
            <wp:effectExtent b="0" l="0" r="0" t="0"/>
            <wp:docPr id="34"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108198" cy="2557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constante de rigidez del resorte y </w:t>
      </w:r>
      <w:r w:rsidDel="00000000" w:rsidR="00000000" w:rsidRPr="00000000">
        <w:rPr>
          <w:rFonts w:ascii="Google Sans" w:cs="Google Sans" w:eastAsia="Google Sans" w:hAnsi="Google Sans"/>
          <w:color w:val="1f1f1f"/>
        </w:rPr>
        <w:drawing>
          <wp:inline distB="19050" distT="19050" distL="19050" distR="19050">
            <wp:extent cx="112216" cy="243135"/>
            <wp:effectExtent b="0" l="0" r="0" t="0"/>
            <wp:docPr id="33"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112216" cy="2431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 la distancia de compresión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alcanzar un punto de liberación predeterminado, esta energía se transforma en energía cinética </w:t>
      </w:r>
      <w:r w:rsidDel="00000000" w:rsidR="00000000" w:rsidRPr="00000000">
        <w:rPr>
          <w:rFonts w:ascii="Google Sans" w:cs="Google Sans" w:eastAsia="Google Sans" w:hAnsi="Google Sans"/>
          <w:color w:val="1f1f1f"/>
        </w:rPr>
        <w:drawing>
          <wp:inline distB="19050" distT="19050" distL="19050" distR="19050">
            <wp:extent cx="959053" cy="246885"/>
            <wp:effectExtent b="0" l="0" r="0" t="0"/>
            <wp:docPr id="36" name="image35.png"/>
            <a:graphic>
              <a:graphicData uri="http://schemas.openxmlformats.org/drawingml/2006/picture">
                <pic:pic>
                  <pic:nvPicPr>
                    <pic:cNvPr id="0" name="image35.png"/>
                    <pic:cNvPicPr preferRelativeResize="0"/>
                  </pic:nvPicPr>
                  <pic:blipFill>
                    <a:blip r:embed="rId9"/>
                    <a:srcRect b="0" l="0" r="0" t="0"/>
                    <a:stretch>
                      <a:fillRect/>
                    </a:stretch>
                  </pic:blipFill>
                  <pic:spPr>
                    <a:xfrm>
                      <a:off x="0" y="0"/>
                      <a:ext cx="959053" cy="246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impulsando una masa interna de acero (</w:t>
      </w:r>
      <w:r w:rsidDel="00000000" w:rsidR="00000000" w:rsidRPr="00000000">
        <w:rPr>
          <w:rFonts w:ascii="Google Sans" w:cs="Google Sans" w:eastAsia="Google Sans" w:hAnsi="Google Sans"/>
          <w:color w:val="1f1f1f"/>
        </w:rPr>
        <w:drawing>
          <wp:inline distB="19050" distT="19050" distL="19050" distR="19050">
            <wp:extent cx="172045" cy="248510"/>
            <wp:effectExtent b="0" l="0" r="0" t="0"/>
            <wp:docPr id="35"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172045" cy="2485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una velocidad constante hacia el émbolo que se encuentra en contacto directo con la superficie del concreto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la fracción de segundo que dura el impacto, la energía cinética experimenta una redistribución compleja. Una porción de esta energía se disipa en forma de fricción mecánica dentro del propio instrumento y otra parte significativa es absorbida por el concreto a través de la formación de una deformación plástica microscópica en la zona de contacto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energía residual que no es absorbida por el concreto es restituida a la masa de acero en forma de trabajo elástico, induciendo un rebote. El desplazamiento máximo de este rebote, expresado como un porcentaje de la extensión inicial del resorte, se registra en una escala graduada lineal adosada al chasis del instrumento, proporcionando un valor adimensional conocido como Número de Rebote o valor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40"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evolución tecnológica ha introducido martillos digitales, como la serie Silver Schmidt, que emplean codificadores ópticos para medir la velocidad de la masa inmediatamente antes (</w:t>
      </w:r>
      <w:r w:rsidDel="00000000" w:rsidR="00000000" w:rsidRPr="00000000">
        <w:rPr>
          <w:rFonts w:ascii="Google Sans" w:cs="Google Sans" w:eastAsia="Google Sans" w:hAnsi="Google Sans"/>
          <w:color w:val="1f1f1f"/>
        </w:rPr>
        <w:drawing>
          <wp:inline distB="19050" distT="19050" distL="19050" distR="19050">
            <wp:extent cx="234405" cy="243781"/>
            <wp:effectExtent b="0" l="0" r="0" t="0"/>
            <wp:docPr id="39"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234405" cy="2437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después (</w:t>
      </w:r>
      <w:r w:rsidDel="00000000" w:rsidR="00000000" w:rsidRPr="00000000">
        <w:rPr>
          <w:rFonts w:ascii="Google Sans" w:cs="Google Sans" w:eastAsia="Google Sans" w:hAnsi="Google Sans"/>
          <w:color w:val="1f1f1f"/>
        </w:rPr>
        <w:drawing>
          <wp:inline distB="19050" distT="19050" distL="19050" distR="19050">
            <wp:extent cx="299294" cy="251020"/>
            <wp:effectExtent b="0" l="0" r="0" t="0"/>
            <wp:docPr id="45"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299294" cy="2510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del impacto. En lugar del valor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4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basado en el desplazamiento espacial, estos equipos calculan el cociente de restitución energética, denominado valor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50"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mediante la relación </w:t>
      </w:r>
      <w:r w:rsidDel="00000000" w:rsidR="00000000" w:rsidRPr="00000000">
        <w:rPr>
          <w:rFonts w:ascii="Google Sans" w:cs="Google Sans" w:eastAsia="Google Sans" w:hAnsi="Google Sans"/>
          <w:color w:val="1f1f1f"/>
        </w:rPr>
        <w:drawing>
          <wp:inline distB="19050" distT="19050" distL="19050" distR="19050">
            <wp:extent cx="1734141" cy="247734"/>
            <wp:effectExtent b="0" l="0" r="0" t="0"/>
            <wp:docPr id="46" name="image34.png"/>
            <a:graphic>
              <a:graphicData uri="http://schemas.openxmlformats.org/drawingml/2006/picture">
                <pic:pic>
                  <pic:nvPicPr>
                    <pic:cNvPr id="0" name="image34.png"/>
                    <pic:cNvPicPr preferRelativeResize="0"/>
                  </pic:nvPicPr>
                  <pic:blipFill>
                    <a:blip r:embed="rId15"/>
                    <a:srcRect b="0" l="0" r="0" t="0"/>
                    <a:stretch>
                      <a:fillRect/>
                    </a:stretch>
                  </pic:blipFill>
                  <pic:spPr>
                    <a:xfrm>
                      <a:off x="0" y="0"/>
                      <a:ext cx="1734141" cy="24773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Este avance metrológico es sustancial, dado que el valor </w:t>
      </w:r>
      <w:r w:rsidDel="00000000" w:rsidR="00000000" w:rsidRPr="00000000">
        <w:rPr>
          <w:rFonts w:ascii="Google Sans" w:cs="Google Sans" w:eastAsia="Google Sans" w:hAnsi="Google Sans"/>
          <w:color w:val="1f1f1f"/>
        </w:rPr>
        <w:drawing>
          <wp:inline distB="19050" distT="19050" distL="19050" distR="19050">
            <wp:extent cx="155078" cy="252002"/>
            <wp:effectExtent b="0" l="0" r="0" t="0"/>
            <wp:docPr id="48" name="image33.png"/>
            <a:graphic>
              <a:graphicData uri="http://schemas.openxmlformats.org/drawingml/2006/picture">
                <pic:pic>
                  <pic:nvPicPr>
                    <pic:cNvPr id="0" name="image33.png"/>
                    <pic:cNvPicPr preferRelativeResize="0"/>
                  </pic:nvPicPr>
                  <pic:blipFill>
                    <a:blip r:embed="rId14"/>
                    <a:srcRect b="0" l="0" r="0" t="0"/>
                    <a:stretch>
                      <a:fillRect/>
                    </a:stretch>
                  </pic:blipFill>
                  <pic:spPr>
                    <a:xfrm>
                      <a:off x="0" y="0"/>
                      <a:ext cx="155078" cy="252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basarse directamente en la cinética diferencial, es inherentemente independiente del vector gravitacional, eliminando la necesidad de aplicar factores empíricos de corrección según la orientación espacial del ensayo (hacia arriba, hacia abajo o en ángulos intermedios), una exigencia insoslayable cuando se utilizan martillos analógicos tradicionales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garantizar que la redistribución de energía dependa exclusivamente de las propiedades del concreto y no de efectos de masa inercial del elemento evaluado, es una condición física fundamental que la masa del concreto sea prácticamente infinita en relación con la masa del percutor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 por esta razón que las normativas ISO 1920-7 y ASTM C805 prohíben la evaluación de elementos esbeltos con espesores inferiores a 100 mm a menos que se encuentren rígidamente respaldados o apuntalados, ya que la flexión elástica global de un elemento delgado absorbería una cantidad desproporcionada de la energía del impacto, arrojando valores de rebote artificialmente bajos e invalidando la estimación de la resistencia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Modelo de Esclerómetro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Energía de Impacto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Campo de Aplicación Principal según Normas Técnicas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N (Estándar)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0952" cy="208546"/>
                  <wp:effectExtent b="0" l="0" r="0" t="0"/>
                  <wp:docPr id="51" name="image39.png"/>
                  <a:graphic>
                    <a:graphicData uri="http://schemas.openxmlformats.org/drawingml/2006/picture">
                      <pic:pic>
                        <pic:nvPicPr>
                          <pic:cNvPr id="0" name="image39.png"/>
                          <pic:cNvPicPr preferRelativeResize="0"/>
                        </pic:nvPicPr>
                        <pic:blipFill>
                          <a:blip r:embed="rId16"/>
                          <a:srcRect b="0" l="0" r="0" t="0"/>
                          <a:stretch>
                            <a:fillRect/>
                          </a:stretch>
                        </pic:blipFill>
                        <pic:spPr>
                          <a:xfrm>
                            <a:off x="0" y="0"/>
                            <a:ext cx="710952" cy="208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9023" cy="208731"/>
                  <wp:effectExtent b="0" l="0" r="0" t="0"/>
                  <wp:docPr id="53" name="image44.png"/>
                  <a:graphic>
                    <a:graphicData uri="http://schemas.openxmlformats.org/drawingml/2006/picture">
                      <pic:pic>
                        <pic:nvPicPr>
                          <pic:cNvPr id="0" name="image44.png"/>
                          <pic:cNvPicPr preferRelativeResize="0"/>
                        </pic:nvPicPr>
                        <pic:blipFill>
                          <a:blip r:embed="rId17"/>
                          <a:srcRect b="0" l="0" r="0" t="0"/>
                          <a:stretch>
                            <a:fillRect/>
                          </a:stretch>
                        </pic:blipFill>
                        <pic:spPr>
                          <a:xfrm>
                            <a:off x="0" y="0"/>
                            <a:ext cx="759023" cy="20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Control de calidad en edificios convencionales, puentes y estructuras con espesores superiores a 100 mm y concretos de resistencia normal a alta (10 a 70 MPa)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L (Baja Energía)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0952" cy="208546"/>
                  <wp:effectExtent b="0" l="0" r="0" t="0"/>
                  <wp:docPr id="55" name="image41.png"/>
                  <a:graphic>
                    <a:graphicData uri="http://schemas.openxmlformats.org/drawingml/2006/picture">
                      <pic:pic>
                        <pic:nvPicPr>
                          <pic:cNvPr id="0" name="image41.png"/>
                          <pic:cNvPicPr preferRelativeResize="0"/>
                        </pic:nvPicPr>
                        <pic:blipFill>
                          <a:blip r:embed="rId18"/>
                          <a:srcRect b="0" l="0" r="0" t="0"/>
                          <a:stretch>
                            <a:fillRect/>
                          </a:stretch>
                        </pic:blipFill>
                        <pic:spPr>
                          <a:xfrm>
                            <a:off x="0" y="0"/>
                            <a:ext cx="710952" cy="208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9023" cy="208731"/>
                  <wp:effectExtent b="0" l="0" r="0" t="0"/>
                  <wp:docPr id="57" name="image52.png"/>
                  <a:graphic>
                    <a:graphicData uri="http://schemas.openxmlformats.org/drawingml/2006/picture">
                      <pic:pic>
                        <pic:nvPicPr>
                          <pic:cNvPr id="0" name="image52.png"/>
                          <pic:cNvPicPr preferRelativeResize="0"/>
                        </pic:nvPicPr>
                        <pic:blipFill>
                          <a:blip r:embed="rId19"/>
                          <a:srcRect b="0" l="0" r="0" t="0"/>
                          <a:stretch>
                            <a:fillRect/>
                          </a:stretch>
                        </pic:blipFill>
                        <pic:spPr>
                          <a:xfrm>
                            <a:off x="0" y="0"/>
                            <a:ext cx="759023" cy="20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de elementos arquitectónicos delgados, concreto de edad temprana, mampostería, ladrillos de arcilla sólida o superficies altamente sensibles al daño por impacto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Tipo M (Alta Energía)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710952" cy="208546"/>
                  <wp:effectExtent b="0" l="0" r="0" t="0"/>
                  <wp:docPr id="59" name="image51.png"/>
                  <a:graphic>
                    <a:graphicData uri="http://schemas.openxmlformats.org/drawingml/2006/picture">
                      <pic:pic>
                        <pic:nvPicPr>
                          <pic:cNvPr id="0" name="image51.png"/>
                          <pic:cNvPicPr preferRelativeResize="0"/>
                        </pic:nvPicPr>
                        <pic:blipFill>
                          <a:blip r:embed="rId20"/>
                          <a:srcRect b="0" l="0" r="0" t="0"/>
                          <a:stretch>
                            <a:fillRect/>
                          </a:stretch>
                        </pic:blipFill>
                        <pic:spPr>
                          <a:xfrm>
                            <a:off x="0" y="0"/>
                            <a:ext cx="710952" cy="208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9023" cy="208731"/>
                  <wp:effectExtent b="0" l="0" r="0" t="0"/>
                  <wp:docPr id="60" name="image54.png"/>
                  <a:graphic>
                    <a:graphicData uri="http://schemas.openxmlformats.org/drawingml/2006/picture">
                      <pic:pic>
                        <pic:nvPicPr>
                          <pic:cNvPr id="0" name="image54.png"/>
                          <pic:cNvPicPr preferRelativeResize="0"/>
                        </pic:nvPicPr>
                        <pic:blipFill>
                          <a:blip r:embed="rId21"/>
                          <a:srcRect b="0" l="0" r="0" t="0"/>
                          <a:stretch>
                            <a:fillRect/>
                          </a:stretch>
                        </pic:blipFill>
                        <pic:spPr>
                          <a:xfrm>
                            <a:off x="0" y="0"/>
                            <a:ext cx="759023" cy="2087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Obras de infraestructura masiva, pavimentos rígidos, pistas de aterrizaje y estructuras con agregados de gran tamaño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trazabilidad metrológica de estos equipos es de suma criticidad. El ensayo carece de validez legal si el instrumento no ha sido debidamente calibrado. La normativa ISO 1920-7 exige de forma perentoria que el esclerómetro sea verificado periódicamente (al menos dos veces al año o cuando se dude de su integridad) utilizando un yunque de calibración de referencia fabricado en acero endurecido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Este yunque debe cumplir con especificaciones geométricas y metalúrgicas precisas: debe poseer una masa de </w:t>
      </w:r>
      <w:r w:rsidDel="00000000" w:rsidR="00000000" w:rsidRPr="00000000">
        <w:rPr>
          <w:rFonts w:ascii="Google Sans" w:cs="Google Sans" w:eastAsia="Google Sans" w:hAnsi="Google Sans"/>
          <w:color w:val="1f1f1f"/>
        </w:rPr>
        <w:drawing>
          <wp:inline distB="19050" distT="19050" distL="19050" distR="19050">
            <wp:extent cx="1034501" cy="237271"/>
            <wp:effectExtent b="0" l="0" r="0" t="0"/>
            <wp:docPr id="61" name="image49.png"/>
            <a:graphic>
              <a:graphicData uri="http://schemas.openxmlformats.org/drawingml/2006/picture">
                <pic:pic>
                  <pic:nvPicPr>
                    <pic:cNvPr id="0" name="image49.png"/>
                    <pic:cNvPicPr preferRelativeResize="0"/>
                  </pic:nvPicPr>
                  <pic:blipFill>
                    <a:blip r:embed="rId22"/>
                    <a:srcRect b="0" l="0" r="0" t="0"/>
                    <a:stretch>
                      <a:fillRect/>
                    </a:stretch>
                  </pic:blipFill>
                  <pic:spPr>
                    <a:xfrm>
                      <a:off x="0" y="0"/>
                      <a:ext cx="1034501" cy="237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 diámetro aproximado de 150 mm y una dureza superficial mínima de 52 en la escala Rockwell C (HRC)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El operador debe realizar lecturas previas y posteriores a cada campaña de ensayos para confirmar que el equipo arroje un valor constante de calibración, el cual, para un yunque estándar en perfectas condiciones, típicamente se sitúa en un índice de </w:t>
      </w:r>
      <w:r w:rsidDel="00000000" w:rsidR="00000000" w:rsidRPr="00000000">
        <w:rPr>
          <w:rFonts w:ascii="Google Sans" w:cs="Google Sans" w:eastAsia="Google Sans" w:hAnsi="Google Sans"/>
          <w:color w:val="1f1f1f"/>
        </w:rPr>
        <w:drawing>
          <wp:inline distB="19050" distT="19050" distL="19050" distR="19050">
            <wp:extent cx="533549" cy="238191"/>
            <wp:effectExtent b="0" l="0" r="0" t="0"/>
            <wp:docPr id="62" name="image42.png"/>
            <a:graphic>
              <a:graphicData uri="http://schemas.openxmlformats.org/drawingml/2006/picture">
                <pic:pic>
                  <pic:nvPicPr>
                    <pic:cNvPr id="0" name="image42.png"/>
                    <pic:cNvPicPr preferRelativeResize="0"/>
                  </pic:nvPicPr>
                  <pic:blipFill>
                    <a:blip r:embed="rId23"/>
                    <a:srcRect b="0" l="0" r="0" t="0"/>
                    <a:stretch>
                      <a:fillRect/>
                    </a:stretch>
                  </pic:blipFill>
                  <pic:spPr>
                    <a:xfrm>
                      <a:off x="0" y="0"/>
                      <a:ext cx="533549" cy="23819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Regulatorio Colombiano: Reglamento NSR-10</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aplicación de cualquier ensayo sobre estructuras en Colombia está supeditada jurídicamente a la Ley 400 de 1997, la cual delega en el Reglamento Colombiano de Construcción Sismo Resistente (NSR-10) la autoridad para definir los criterios de diseño, construcción y evaluación de edificaciones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El Título C de este reglamento, dedicado al Concreto Estructural, es el documento rector que todo ingeniero de patología y laboratorio de materiales debe observar meticulosamente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análisis del marco de la NSR-10 revela una dicotomía estricta respecto al uso de métodos no destructivos: su utilidad difiere abismalmente si se trata del control de calidad para la aceptación de obras nuevas frente a la evaluación de vulnerabilidad en estructuras existentes.</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Restricciones para la Aceptación del Concreto Fresco (Capítulo C.5)</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Capítulo C.5 ("Calidad del Concreto, Mezclado y Colocación") establece que los requisitos de dosificación se fundamentan en la durabilidad y la resistencia a la compresión requeridas para proteger la seguridad pública frente a cargas gravitacionales y solicitaciones sísmicas, estas últimas de extrema importancia dada la compleja historia tectónica de Colombia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La metodología del código para la aceptación del material se basa en la estadística descriptiva paramétrica.</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inciso C.5.3 de la NSR-10 obliga al productor a establecer una desviación estándar de la muestra basándose en un registro histórico de al menos 30 ensayos consecutivos, o dos grupos de ensayos que totalicen 30 pruebas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 obra, la evaluación continua de la resistencia (C.5.6) impone una frecuencia de muestreo rigurosa: no menos de una muestra (cilindro) por cada clase de concreto al día, ni menos de una por cada </w:t>
      </w:r>
      <w:r w:rsidDel="00000000" w:rsidR="00000000" w:rsidRPr="00000000">
        <w:rPr>
          <w:rFonts w:ascii="Google Sans" w:cs="Google Sans" w:eastAsia="Google Sans" w:hAnsi="Google Sans"/>
          <w:color w:val="1f1f1f"/>
        </w:rPr>
        <w:drawing>
          <wp:inline distB="19050" distT="19050" distL="19050" distR="19050">
            <wp:extent cx="486519" cy="238490"/>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486519" cy="238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vaciados (o 50 tandas de mezclado), ni menos de una por cada </w:t>
      </w:r>
      <w:r w:rsidDel="00000000" w:rsidR="00000000" w:rsidRPr="00000000">
        <w:rPr>
          <w:rFonts w:ascii="Google Sans" w:cs="Google Sans" w:eastAsia="Google Sans" w:hAnsi="Google Sans"/>
          <w:color w:val="1f1f1f"/>
        </w:rPr>
        <w:drawing>
          <wp:inline distB="19050" distT="19050" distL="19050" distR="19050">
            <wp:extent cx="584448" cy="239528"/>
            <wp:effectExtent b="0" l="0" r="0" t="0"/>
            <wp:docPr id="23" name="image53.png"/>
            <a:graphic>
              <a:graphicData uri="http://schemas.openxmlformats.org/drawingml/2006/picture">
                <pic:pic>
                  <pic:nvPicPr>
                    <pic:cNvPr id="0" name="image53.png"/>
                    <pic:cNvPicPr preferRelativeResize="0"/>
                  </pic:nvPicPr>
                  <pic:blipFill>
                    <a:blip r:embed="rId25"/>
                    <a:srcRect b="0" l="0" r="0" t="0"/>
                    <a:stretch>
                      <a:fillRect/>
                    </a:stretch>
                  </pic:blipFill>
                  <pic:spPr>
                    <a:xfrm>
                      <a:off x="0" y="0"/>
                      <a:ext cx="584448" cy="239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losas o muros superficiales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Estos cilindros, fabricados y curados bajo los estándares de laboratorio (NTC 673) en formatos estandarizados de </w:t>
      </w:r>
      <w:r w:rsidDel="00000000" w:rsidR="00000000" w:rsidRPr="00000000">
        <w:rPr>
          <w:rFonts w:ascii="Google Sans" w:cs="Google Sans" w:eastAsia="Google Sans" w:hAnsi="Google Sans"/>
          <w:color w:val="1f1f1f"/>
        </w:rPr>
        <w:drawing>
          <wp:inline distB="19050" distT="19050" distL="19050" distR="19050">
            <wp:extent cx="1202827" cy="238656"/>
            <wp:effectExtent b="0" l="0" r="0" t="0"/>
            <wp:docPr id="24" name="image48.png"/>
            <a:graphic>
              <a:graphicData uri="http://schemas.openxmlformats.org/drawingml/2006/picture">
                <pic:pic>
                  <pic:nvPicPr>
                    <pic:cNvPr id="0" name="image48.png"/>
                    <pic:cNvPicPr preferRelativeResize="0"/>
                  </pic:nvPicPr>
                  <pic:blipFill>
                    <a:blip r:embed="rId26"/>
                    <a:srcRect b="0" l="0" r="0" t="0"/>
                    <a:stretch>
                      <a:fillRect/>
                    </a:stretch>
                  </pic:blipFill>
                  <pic:spPr>
                    <a:xfrm>
                      <a:off x="0" y="0"/>
                      <a:ext cx="1202827" cy="238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w:t>
      </w:r>
      <w:r w:rsidDel="00000000" w:rsidR="00000000" w:rsidRPr="00000000">
        <w:rPr>
          <w:rFonts w:ascii="Google Sans" w:cs="Google Sans" w:eastAsia="Google Sans" w:hAnsi="Google Sans"/>
          <w:color w:val="1f1f1f"/>
        </w:rPr>
        <w:drawing>
          <wp:inline distB="19050" distT="19050" distL="19050" distR="19050">
            <wp:extent cx="1202827" cy="238656"/>
            <wp:effectExtent b="0" l="0" r="0" t="0"/>
            <wp:docPr id="25"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1202827" cy="238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proveen la medida de la resistencia "potencial" del concreto entregado por la planta dosificadora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este contexto regulatorio inicial, la NSR-10 es inflexible: </w:t>
      </w:r>
      <w:r w:rsidDel="00000000" w:rsidR="00000000" w:rsidRPr="00000000">
        <w:rPr>
          <w:rFonts w:ascii="Google Sans" w:cs="Google Sans" w:eastAsia="Google Sans" w:hAnsi="Google Sans"/>
          <w:b w:val="1"/>
          <w:bCs w:val="1"/>
          <w:color w:val="1f1f1f"/>
          <w:rtl w:val="0"/>
        </w:rPr>
        <w:t xml:space="preserve">los ensayos de esclerometría no tienen ninguna validez jurídica para aceptar o rechazar el concreto suministrado a la obra</w:t>
      </w:r>
      <w:r w:rsidDel="00000000" w:rsidR="00000000" w:rsidRPr="00000000">
        <w:rPr>
          <w:rFonts w:ascii="Google Sans" w:cs="Google Sans" w:eastAsia="Google Sans" w:hAnsi="Google Sans"/>
          <w:color w:val="1f1f1f"/>
          <w:rtl w:val="0"/>
        </w:rPr>
        <w:t xml:space="preserve">. Las lecturas de rebote no pueden reemplazar los cilindros estándar como evidencia de cumplimiento contractual de la resistencia </w:t>
      </w:r>
      <w:r w:rsidDel="00000000" w:rsidR="00000000" w:rsidRPr="00000000">
        <w:rPr>
          <w:rFonts w:ascii="Google Sans" w:cs="Google Sans" w:eastAsia="Google Sans" w:hAnsi="Google Sans"/>
          <w:color w:val="1f1f1f"/>
        </w:rPr>
        <w:drawing>
          <wp:inline distB="19050" distT="19050" distL="19050" distR="19050">
            <wp:extent cx="165200" cy="252658"/>
            <wp:effectExtent b="0" l="0" r="0" t="0"/>
            <wp:docPr id="26"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65200" cy="252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especificada por el ingeniero diseñador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Sin embargo, el martillo de rebote se convierte en una herramienta autorizada y recomendada por las guías del ACI cuando se requiere evaluar la resistencia temprana in situ para autorizar operaciones constructivas críticas, como la transferencia de esfuerzos en elementos preesforzados o el retiro seguro de formaletas y cimbras, operaciones que la norma permite respaldar con cilindros curados en obra o ensayos no destructivos debidamente correlacionados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rol de la esclerometría cobra relevancia procedimental en la obra nueva a través del inciso C.5.6.5 de la NSR-10, referente a la "Investigación de los Resultados de Ensayos con Baja Resistencia". Si la resistencia de los cilindros curados en laboratorio cae sistemáticamente por debajo del límite permisible (</w:t>
      </w:r>
      <w:r w:rsidDel="00000000" w:rsidR="00000000" w:rsidRPr="00000000">
        <w:rPr>
          <w:rFonts w:ascii="Google Sans" w:cs="Google Sans" w:eastAsia="Google Sans" w:hAnsi="Google Sans"/>
          <w:color w:val="1f1f1f"/>
        </w:rPr>
        <w:drawing>
          <wp:inline distB="19050" distT="19050" distL="19050" distR="19050">
            <wp:extent cx="1115320" cy="247849"/>
            <wp:effectExtent b="0" l="0" r="0" t="0"/>
            <wp:docPr id="27"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1115320" cy="24784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 supervisor técnico tiene la obligación de evaluar si la capacidad de carga de la estructura construida se encuentra en peligro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Antes de ordenar perforaciones masivas que deterioren el refuerzo o la matriz del elemento ya fundido, la esclerometría permite realizar un mapeo preliminar. Al contrastar las zonas sospechosas con elementos fundidos el mismo día que sí aprobaron los ensayos, el ingeniero puede delinear con exactitud la extensión de la zona de baja calidad estructural, restringiendo la posterior extracción de núcleos (corazones) exigida por la norma a los puntos verdaderamente críticos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Evaluación Integral de Estructuras Existentes (Capítulo C.20)</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Capítulo C.20 ("Evaluación de la Resistencia de Estructuras Existentes") aborda edificaciones de las que se carece de registros históricos de calidad, proyectos de remodelación mayor, o estructuras que han sufrido daño por eventos sísmicos, incendios, exposición química o procesos de deterioro endógeno (como el ataque por sulfatos o reactividad álcali-sílice)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En estos escenarios, el código requiere una reevaluación de la capacidad de la edificación utilizando parámetros de materiales actualizados.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ámbito forense y patológico, la esclerometría deja de ser una herramienta secundaria para convertirse en el vector principal del diagnóstico preliminar. El costo temporal y monetario, sumado al daño estructural inherente a la extracción de cilindros por perforación rotatoria (ASTM C42), imposibilita una caracterización puramente destructiva de un edificio completo. La estrategia técnica dictada por normativas internacionales (ACI 228.1R) y asimilada en la práctica colombiana es el empleo intensivo de la NTC 3692 para crear una cartografía de la uniformidad de la resistencia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Mediante inspecciones sistemáticas, se establecen cuadrículas sobre los elementos portantes (columnas, vigas, muros de cortante), identificando gradientes de resistencia y aislando zonas patológicas invisibles al ojo humano.</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Posteriormente, los resultados de esta cartografía se utilizan para diseñar el plan de muestreo destructivo. La NSR-10 condiciona taxativamente que cualquier valor numérico de resistencia a la compresión inferido a partir de métodos indirectos (como el esclerómetro) debe estar fundamentado en una correlación empírica y local, construida a partir de pruebas de núcleos extraídos de la misma edificación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Directrices Metodológicas para la Ejecución del Ensayo (ISO 1920-7 y NTC 3692)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que los resultados de una campaña de esclerometría sean estadísticamente representativos y metrológicamente válidos frente a auditorías o litigios, el personal técnico debe ejecutar el ensayo ciñéndose estrictamente a los protocolos de la ISO 1920-7 ("Non-destructive tests on hardened concrete") y la NTC 3692 (Método de ensayo para medir el número de rebote)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sensibilidad del ensayo a la microgeometría de la superficie exige una preparación meticulosa.</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Selección y Preparación de la Superficie de Medición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zona de ensayo, la cual se asume de calidad uniforme para propósitos prácticos, debe ser seleccionada estratégicamente evadiendo anomalías localizadas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ISO 1920-7 prohíbe explícitamente la ejecución de impactos sobre áreas que presenten segregación, hormigueros (honeycombing), descamación superficial, exudación excesiva, texturas irregulares, alta porosidad o que estén situadas sobre la proyección de armaduras de refuerzo superficiales (ya que el acero incrementa drásticamente la rigidez del punto de impacto)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La distancia mínima desde el centro del área de prueba hasta cualquier borde libre del elemento de concreto no debe ser inferior a 100 mm según ISO (o 50 mm según lineamientos ASTM/NTC), con el fin de evitar la fractura frágil de las esquinas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Asimismo, las áreas de prueba deben estar distanciadas entre sí por al menos 200 mm para representar adecuadamente la variabilidad macroscópica de la estructura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seleccionada el área (con un diámetro mínimo sugerido de 150 mm), la preparación mecánica es ineludible. La matriz exterior del concreto interactúa íntimamente con el ambiente, sufriendo fenómenos físicos y químicos que la diferencian radicalmente del núcleo interno de la estructura. La NTC 3692 requiere el uso sistemático de una piedra abrasiva de carburo de silicio de grano medio para eliminar lechadas superficiales, pinturas, recubrimientos epóxicos y texturas de encofrado rugosas, garantizando que el émbolo del esclerómetro percuta directamente sobre un sustrato endurecido, liso y plano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factor patológico determinante en estructuras existentes es la carbonatación. Con el paso del tiempo, el hidróxido de calcio (</w:t>
      </w:r>
      <w:r w:rsidDel="00000000" w:rsidR="00000000" w:rsidRPr="00000000">
        <w:rPr>
          <w:rFonts w:ascii="Google Sans" w:cs="Google Sans" w:eastAsia="Google Sans" w:hAnsi="Google Sans"/>
          <w:color w:val="1f1f1f"/>
        </w:rPr>
        <w:drawing>
          <wp:inline distB="19050" distT="19050" distL="19050" distR="19050">
            <wp:extent cx="822573" cy="248685"/>
            <wp:effectExtent b="0" l="0" r="0" t="0"/>
            <wp:docPr id="28" name="image38.png"/>
            <a:graphic>
              <a:graphicData uri="http://schemas.openxmlformats.org/drawingml/2006/picture">
                <pic:pic>
                  <pic:nvPicPr>
                    <pic:cNvPr id="0" name="image38.png"/>
                    <pic:cNvPicPr preferRelativeResize="0"/>
                  </pic:nvPicPr>
                  <pic:blipFill>
                    <a:blip r:embed="rId30"/>
                    <a:srcRect b="0" l="0" r="0" t="0"/>
                    <a:stretch>
                      <a:fillRect/>
                    </a:stretch>
                  </pic:blipFill>
                  <pic:spPr>
                    <a:xfrm>
                      <a:off x="0" y="0"/>
                      <a:ext cx="822573" cy="2486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presente en la pasta de cemento hidratada, altamente alcalino, reacciona con el dióxido de carbono (</w:t>
      </w:r>
      <w:r w:rsidDel="00000000" w:rsidR="00000000" w:rsidRPr="00000000">
        <w:rPr>
          <w:rFonts w:ascii="Google Sans" w:cs="Google Sans" w:eastAsia="Google Sans" w:hAnsi="Google Sans"/>
          <w:color w:val="1f1f1f"/>
        </w:rPr>
        <w:drawing>
          <wp:inline distB="19050" distT="19050" distL="19050" distR="19050">
            <wp:extent cx="382042" cy="248327"/>
            <wp:effectExtent b="0" l="0" r="0" t="0"/>
            <wp:docPr id="29"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382042" cy="2483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atmosférico que penetra a través de los poros capilares, precipitando carbonato de calcio (</w:t>
      </w:r>
      <w:r w:rsidDel="00000000" w:rsidR="00000000" w:rsidRPr="00000000">
        <w:rPr>
          <w:rFonts w:ascii="Google Sans" w:cs="Google Sans" w:eastAsia="Google Sans" w:hAnsi="Google Sans"/>
          <w:color w:val="1f1f1f"/>
        </w:rPr>
        <w:drawing>
          <wp:inline distB="19050" distT="19050" distL="19050" distR="19050">
            <wp:extent cx="639961" cy="248343"/>
            <wp:effectExtent b="0" l="0" r="0" t="0"/>
            <wp:docPr id="30"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639961" cy="248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reacción química densifica la red de poros y endurece significativamente la costra exterior del concreto. Dado que el impacto del esclerómetro evalúa primariamente los primeros 20 a 30 mm del sustrato, una superficie profundamente carbonatada arrojará índices de rebote que sobrestiman falsamente la resistencia interna del concreto en un 50% o más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Por consiguiente, si el concreto supera los seis meses de edad o evidencia frentes de carbonatación profundos, los lineamientos técnicos exigen desbastar la zona de ensayo hasta una profundidad de aproximadamente 5 mm utilizando esmeriladoras mecánicas, asegurando que las lecturas reflejen el material no alterado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condiciones termodinámicas y de humedad también imponen restricciones. El ensayo debe ejecutarse sobre superficies completamente secas, ya que la humedad libre actúa como un amortiguador hidráulico dentro de la red capilar, reduciendo el rebote hasta en un 20%</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Adicionalmente, alineado con las precauciones de clima frío dictadas en la sección C.5.12 de la NSR-10, no se debe someter a prueba concreto que se encuentre congelado o contenga cristales de hielo en su interior, debido a que el agua congelada incrementa exponencialmente la dureza al impacto, generando resultados espurios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Procedimiento Sistemático de Percusión</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ejecución del impacto requiere pericia por parte del operador para garantizar la ortogonalidad y la estabilidad del equipo. El esclerómetro se debe sostener firmemente, manteniendo el émbolo perpendicular al plano de la superficie seleccionada, incrementando la presión axial de manera lenta y gradual hasta que el mecanismo automático de resorte se dispare, liberando la masa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protocolo estadístico dictamina la obtención de un conglomerado de lecturas para atenuar la varianza inherente al material particulado. Se requiere un mínimo de diez (10) impactos por cada área de prueba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distancia entre puntos de impacto sucesivos no debe ser menor a 25 mm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El incumplimiento de esta separación mínima invalida el proceso, puesto que cada percusión genera microfisuras plásticas subsuperficiales por el aplastamiento de la pasta de cemento; un impacto subsiguiente que se solape con esta zona de deformación (fenómeno de acritud local) presentará un rebote falsamente deprimido, corrompiendo la matriz de datos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Al finalizar el disparo, el operador presiona el botón lateral de fijación para retener el cursor y registra el valor en la escala, prestando especial atención a documentar el ángulo de inclinación del instrumento para las subsiguientes correcciones matemáticas (a menos que se empleen equipos digitales que midan la cinemática de forma intrínseca mediante el factor Q)</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Parámetro Operativo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Restricción según NTC 3692 / ISO 1920-7</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Consecuencia del Incumplimiento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Espesor del elemento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100 mm (o apoyado rígidamente)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Amortiguación elástica estructural; valores de rebote falsamente bajos.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Lecturas por área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10 (diez) percusiones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Muestra estadísticamente no representativa frente a la heterogeneidad del concreto.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Separación de impactos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25 mm entre puntos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Interferencia por micro-fisuración acumulada; reducción del índice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3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Distancia a los bordes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Mínimo 50 mm a 100 mm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Pérdida de confinamiento triaxial; fractura frágil de la esquina del concreto.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Humedad superficial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Ausencia absoluta de agua libre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Absorción acústica en poros saturados; rebote subestimado.</w:t>
            </w:r>
          </w:p>
        </w:tc>
      </w:tr>
    </w:tbl>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Estadístico y Depuración de Datos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concreto es un material compuesto intrínsecamente heterogéneo. Una sección transversal típica consta de agregados gruesos (gravas), agregados finos (arenas), pasta de cemento hidratada, agua libre, huecos de aire ocluido e intencionalmente atrapado, y microfisuras de retracción. Al proyectar una cuadrícula de 10 percusiones en un área de </w:t>
      </w:r>
      <w:r w:rsidDel="00000000" w:rsidR="00000000" w:rsidRPr="00000000">
        <w:rPr>
          <w:rFonts w:ascii="Google Sans" w:cs="Google Sans" w:eastAsia="Google Sans" w:hAnsi="Google Sans"/>
          <w:color w:val="1f1f1f"/>
        </w:rPr>
        <w:drawing>
          <wp:inline distB="19050" distT="19050" distL="19050" distR="19050">
            <wp:extent cx="1202827" cy="238656"/>
            <wp:effectExtent b="0" l="0" r="0" t="0"/>
            <wp:docPr id="11" name="image7.png"/>
            <a:graphic>
              <a:graphicData uri="http://schemas.openxmlformats.org/drawingml/2006/picture">
                <pic:pic>
                  <pic:nvPicPr>
                    <pic:cNvPr id="0" name="image7.png"/>
                    <pic:cNvPicPr preferRelativeResize="0"/>
                  </pic:nvPicPr>
                  <pic:blipFill>
                    <a:blip r:embed="rId33"/>
                    <a:srcRect b="0" l="0" r="0" t="0"/>
                    <a:stretch>
                      <a:fillRect/>
                    </a:stretch>
                  </pic:blipFill>
                  <pic:spPr>
                    <a:xfrm>
                      <a:off x="0" y="0"/>
                      <a:ext cx="1202827" cy="2386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existe una probabilidad estadística no trivial de que el émbolo del esclerómetro impacte directamente sobre una partícula de agregado grueso de alta dureza (por ejemplo, granito o cuarzo), generando un pico de rebote anómalamente alto. Inversamente, el émbolo puede descansar sobre un nido de segregación subsuperficial o una gran burbuja de aire, absorbiendo toda la energía y generando una lectura deprimida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normativa exige un tratamiento algorítmico de depuración para extraer un indicador de tendencia central robusto. El procedimiento establecido por la convergencia de la NTC 3692 y las metodologías ASTM es el siguiente:</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 calcula el promedio inicial (media aritmética) de las 10 lecturas registradas en bruto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color w:val="1f1f1f"/>
          <w:rtl w:val="0"/>
        </w:rPr>
        <w:t xml:space="preserve">Se inspecciona cada lectura individual y se calcula su desviación absoluta respecto al promedio base.</w:t>
      </w:r>
    </w:p>
    <w:p w:rsidR="00000000" w:rsidDel="00000000" w:rsidP="00000000" w:rsidRDefault="00000000" w:rsidRPr="00000000" w14:paraId="0000004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Criterio de Descarte:</w:t>
      </w:r>
      <w:r w:rsidDel="00000000" w:rsidR="00000000" w:rsidRPr="00000000">
        <w:rPr>
          <w:rFonts w:ascii="Google Sans" w:cs="Google Sans" w:eastAsia="Google Sans" w:hAnsi="Google Sans"/>
          <w:color w:val="1f1f1f"/>
          <w:rtl w:val="0"/>
        </w:rPr>
        <w:t xml:space="preserve"> Se descarta de forma inapelable cualquier lectura que difiera del promedio inicial en más de un límite preestablecido. Aunque históricamente algunas iteraciones de las normativas de dureza sugerían un umbral de siete (7) unidades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consolidación de la técnica frente a estándares internacionales de calidad dicta un límite estricto de </w:t>
      </w:r>
      <w:r w:rsidDel="00000000" w:rsidR="00000000" w:rsidRPr="00000000">
        <w:rPr>
          <w:rFonts w:ascii="Google Sans" w:cs="Google Sans" w:eastAsia="Google Sans" w:hAnsi="Google Sans"/>
          <w:b w:val="1"/>
          <w:bCs w:val="1"/>
          <w:color w:val="1f1f1f"/>
          <w:rtl w:val="0"/>
        </w:rPr>
        <w:t xml:space="preserve">seis (6) unidades</w:t>
      </w:r>
      <w:r w:rsidDel="00000000" w:rsidR="00000000" w:rsidRPr="00000000">
        <w:rPr>
          <w:rFonts w:ascii="Google Sans" w:cs="Google Sans" w:eastAsia="Google Sans" w:hAnsi="Google Sans"/>
          <w:color w:val="1f1f1f"/>
          <w:rtl w:val="0"/>
        </w:rPr>
        <w:t xml:space="preserve"> de desviación permitida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Criterio de Anulación:</w:t>
      </w:r>
      <w:r w:rsidDel="00000000" w:rsidR="00000000" w:rsidRPr="00000000">
        <w:rPr>
          <w:rFonts w:ascii="Google Sans" w:cs="Google Sans" w:eastAsia="Google Sans" w:hAnsi="Google Sans"/>
          <w:color w:val="1f1f1f"/>
          <w:rtl w:val="0"/>
        </w:rPr>
        <w:t xml:space="preserve"> Tras aplicar la purga estadística, se cuenta el número de valores atípicos. Si más de dos (2) lecturas difieren en más de seis unidades, esto denota que la varianza local del material o la calidad de la preparación superficial es inaceptable. En este escenario, la normativa ordena descartar la prueba en su totalidad y proceder a preparar y ensayar una nueva área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Cálculo Definitivo:</w:t>
      </w:r>
      <w:r w:rsidDel="00000000" w:rsidR="00000000" w:rsidRPr="00000000">
        <w:rPr>
          <w:rFonts w:ascii="Google Sans" w:cs="Google Sans" w:eastAsia="Google Sans" w:hAnsi="Google Sans"/>
          <w:color w:val="1f1f1f"/>
          <w:rtl w:val="0"/>
        </w:rPr>
        <w:t xml:space="preserve"> Si se descartan únicamente una o dos lecturas, se procede a calcular un nuevo promedio matemático exclusivamente con las 8 o 9 lecturas restantes. Este valor depurado constituye el "Número de Rebote" representativo para esa área estructural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Cabe destacar que la directriz europea e internacional plasmada en la norma ISO 1920-7 provee una alternativa robusta al cálculo del promedio: el uso de la </w:t>
      </w:r>
      <w:r w:rsidDel="00000000" w:rsidR="00000000" w:rsidRPr="00000000">
        <w:rPr>
          <w:rFonts w:ascii="Google Sans" w:cs="Google Sans" w:eastAsia="Google Sans" w:hAnsi="Google Sans"/>
          <w:i w:val="1"/>
          <w:iCs w:val="1"/>
          <w:color w:val="1f1f1f"/>
          <w:rtl w:val="0"/>
        </w:rPr>
        <w:t xml:space="preserve">mediana</w:t>
      </w:r>
      <w:r w:rsidDel="00000000" w:rsidR="00000000" w:rsidRPr="00000000">
        <w:rPr>
          <w:rFonts w:ascii="Google Sans" w:cs="Google Sans" w:eastAsia="Google Sans" w:hAnsi="Google Sans"/>
          <w:color w:val="1f1f1f"/>
          <w:rtl w:val="0"/>
        </w:rPr>
        <w:t xml:space="preserve">. Ordenando la serie de datos de menor a mayor y extrayendo el valor central, la mediana resiste matemáticamente la influencia de valores extremos, simplificando el tratamiento y mitigando el sesgo producido por agregados superficiales atípicos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Factores de Influencia Endógena y Exógena</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interpretación pericial de los resultados exige la comprensión profunda de que la esclerometría </w:t>
      </w:r>
      <w:r w:rsidDel="00000000" w:rsidR="00000000" w:rsidRPr="00000000">
        <w:rPr>
          <w:rFonts w:ascii="Google Sans" w:cs="Google Sans" w:eastAsia="Google Sans" w:hAnsi="Google Sans"/>
          <w:b w:val="1"/>
          <w:bCs w:val="1"/>
          <w:color w:val="1f1f1f"/>
          <w:rtl w:val="0"/>
        </w:rPr>
        <w:t xml:space="preserve">no es una medición directa de la resistencia a la compresión</w:t>
      </w:r>
      <w:r w:rsidDel="00000000" w:rsidR="00000000" w:rsidRPr="00000000">
        <w:rPr>
          <w:rFonts w:ascii="Google Sans" w:cs="Google Sans" w:eastAsia="Google Sans" w:hAnsi="Google Sans"/>
          <w:color w:val="1f1f1f"/>
          <w:rtl w:val="0"/>
        </w:rPr>
        <w:t xml:space="preserve">. Como se detalla en el Anexo B, de carácter informativo, de la norma ISO 1920-7 y en guías como ACI 228.1R, el número de rebote responde exclusivamente a las propiedades reológicas y elásticas de la capa superficial</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relación empírica entre este índice superficial y la resistencia volumétrica global del núcleo estructural está mediada por una intrincada constelación de factores fisicoquímicos.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discrepancias introducidas por estos factores pueden superar magnitudes del 25% al 30% en la estimación de la carga última, obligando al patólogo estructural a calibrar cualquier lectura bajo contextos específicos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Características Petrogáficas del Agregado:</w:t>
      </w:r>
      <w:r w:rsidDel="00000000" w:rsidR="00000000" w:rsidRPr="00000000">
        <w:rPr>
          <w:rFonts w:ascii="Google Sans" w:cs="Google Sans" w:eastAsia="Google Sans" w:hAnsi="Google Sans"/>
          <w:color w:val="1f1f1f"/>
          <w:rtl w:val="0"/>
        </w:rPr>
        <w:t xml:space="preserve"> El módulo elástico de las gravas es el parámetro con mayor incidencia mecánica. Concretos dosificados con agregados densos y de alta rigidez (granitos, basaltos, calizas duras) exhibirán índices de rebote significativamente mayores en comparación con concretos de idéntica resistencia a la compresión pero fabricados con agregados porosos, calizas blandas o agregados livianos expansivos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Relación Agua/Cemento (a/c):</w:t>
      </w:r>
      <w:r w:rsidDel="00000000" w:rsidR="00000000" w:rsidRPr="00000000">
        <w:rPr>
          <w:rFonts w:ascii="Google Sans" w:cs="Google Sans" w:eastAsia="Google Sans" w:hAnsi="Google Sans"/>
          <w:color w:val="1f1f1f"/>
          <w:rtl w:val="0"/>
        </w:rPr>
        <w:t xml:space="preserve"> La microestructura de la pasta de cemento depende de la cantidad de agua de mezclado. Diseños con baja relación a/c presentan una matriz capilar densa, incrementando el módulo dinámico y la energía restituida al percutor</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Tipo de Cemento y Edad de Curado:</w:t>
      </w:r>
      <w:r w:rsidDel="00000000" w:rsidR="00000000" w:rsidRPr="00000000">
        <w:rPr>
          <w:rFonts w:ascii="Google Sans" w:cs="Google Sans" w:eastAsia="Google Sans" w:hAnsi="Google Sans"/>
          <w:color w:val="1f1f1f"/>
          <w:rtl w:val="0"/>
        </w:rPr>
        <w:t xml:space="preserve"> Los concretos formulados con cementos de alta resistencia inicial (e.g., Tipo III) desarrollan propiedades elásticas a una tasa distinta que la resistencia a compresión volumétrica, generando curvas de correlación divergentes respecto a concretos con adiciones de cenizas volantes o escoria. La tasa de hidratación superficial, afectada severamente por los procedimientos de curado (Capítulo C.5.11 de la NSR-10), dictamina la densidad de la costra exterior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elemento mal curado, sujeto a la rápida evaporación por viento o insolación directa en clima cálido (C.5.12), presentará una costra exterior porosa, friable y llena de fisuras de retracción, lo que resultará en rebotes subestimados que no reflejan la calidad real y aceptable del corazón del elemento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Humedad Relativa e Interna:</w:t>
      </w:r>
      <w:r w:rsidDel="00000000" w:rsidR="00000000" w:rsidRPr="00000000">
        <w:rPr>
          <w:rFonts w:ascii="Google Sans" w:cs="Google Sans" w:eastAsia="Google Sans" w:hAnsi="Google Sans"/>
          <w:color w:val="1f1f1f"/>
          <w:rtl w:val="0"/>
        </w:rPr>
        <w:t xml:space="preserve"> Existe una relación inversamente proporcional entre el contenido de humedad y el rebote. Las moléculas de agua ocluidas en los poros capilares actúan como disipadores de energía acústica y elástica. Un concreto saturado (evaluado tras un evento de lluvia o en fundaciones bajo nivel freático) mostrará lecturas hasta un 20% más bajas que un espécimen idéntico que se encuentre seco al aire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Exposición a Temperaturas Extremas y Fuego:</w:t>
      </w:r>
      <w:r w:rsidDel="00000000" w:rsidR="00000000" w:rsidRPr="00000000">
        <w:rPr>
          <w:rFonts w:ascii="Google Sans" w:cs="Google Sans" w:eastAsia="Google Sans" w:hAnsi="Google Sans"/>
          <w:color w:val="1f1f1f"/>
          <w:rtl w:val="0"/>
        </w:rPr>
        <w:t xml:space="preserve"> El daño térmico altera irreversiblemente los enlaces de la pasta de silicato cálcico hidratado (C-S-H). En la investigación de patologías post-incendio, la esclerometría es idónea para mapear las gradaciones térmicas experimentadas por las vigas o losas, dado que el número de rebote cae precipitadamente a medida que la temperatura de exposición excedió los 300°C, delineando el umbral a partir del cual el elemento debe ser demolido o reforzado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Desarrollo de Curvas de Correlación Locales (Anexo A - ISO 1920-7)</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dependencia extrema frente a los factores mencionados previamente hace inaceptable el uso sistemático de las curvas genéricas proporcionadas por los fabricantes de esclerómetros. La normativa NSR-10 y los comités del ACI 228.1R exigen de forma perentoria que, para efectos de evaluación cuantitativa de resistencia, los métodos indirectos sean contrastados contra ensayos destructivos, desarrollando curvas de calibración </w:t>
      </w:r>
      <w:r w:rsidDel="00000000" w:rsidR="00000000" w:rsidRPr="00000000">
        <w:rPr>
          <w:rFonts w:ascii="Google Sans" w:cs="Google Sans" w:eastAsia="Google Sans" w:hAnsi="Google Sans"/>
          <w:i w:val="1"/>
          <w:iCs w:val="1"/>
          <w:color w:val="1f1f1f"/>
          <w:rtl w:val="0"/>
        </w:rPr>
        <w:t xml:space="preserve">in situ</w:t>
      </w:r>
      <w:r w:rsidDel="00000000" w:rsidR="00000000" w:rsidRPr="00000000">
        <w:rPr>
          <w:rFonts w:ascii="Google Sans" w:cs="Google Sans" w:eastAsia="Google Sans" w:hAnsi="Google Sans"/>
          <w:color w:val="1f1f1f"/>
          <w:rtl w:val="0"/>
        </w:rPr>
        <w:t xml:space="preserve"> que recojan la firma patológica particular de la edificación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Anexo A de la ISO 1920-7 y las guías del ACI describen el procedimiento riguroso para la obtención de esta correlación empírica:</w:t>
      </w:r>
    </w:p>
    <w:p w:rsidR="00000000" w:rsidDel="00000000" w:rsidP="00000000" w:rsidRDefault="00000000" w:rsidRPr="00000000" w14:paraId="00000057">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Mapeo y Selección Espectral:</w:t>
      </w:r>
      <w:r w:rsidDel="00000000" w:rsidR="00000000" w:rsidRPr="00000000">
        <w:rPr>
          <w:rFonts w:ascii="Google Sans" w:cs="Google Sans" w:eastAsia="Google Sans" w:hAnsi="Google Sans"/>
          <w:color w:val="1f1f1f"/>
          <w:rtl w:val="0"/>
        </w:rPr>
        <w:t xml:space="preserve"> Se ejecuta una exploración preliminar generalizada sobre la estructura de interés. A partir de los resultados, se seleccionan un mínimo de seis (6) ubicaciones distintas que abarquen toda la gama de dureza superficial observada (baja, media y alta) para garantizar un dominio estadísticamente representativo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Registro No Destructivo (END):</w:t>
      </w:r>
      <w:r w:rsidDel="00000000" w:rsidR="00000000" w:rsidRPr="00000000">
        <w:rPr>
          <w:rFonts w:ascii="Google Sans" w:cs="Google Sans" w:eastAsia="Google Sans" w:hAnsi="Google Sans"/>
          <w:color w:val="1f1f1f"/>
          <w:rtl w:val="0"/>
        </w:rPr>
        <w:t xml:space="preserve"> Sobre cada una de estas zonas, preparadas a pulcritud, se ejecuta el ensayo esclerométrico, documentando el número de rebote depurado.</w:t>
      </w:r>
    </w:p>
    <w:p w:rsidR="00000000" w:rsidDel="00000000" w:rsidP="00000000" w:rsidRDefault="00000000" w:rsidRPr="00000000" w14:paraId="0000005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Extracción Destructiva (Corazones):</w:t>
      </w:r>
      <w:r w:rsidDel="00000000" w:rsidR="00000000" w:rsidRPr="00000000">
        <w:rPr>
          <w:rFonts w:ascii="Google Sans" w:cs="Google Sans" w:eastAsia="Google Sans" w:hAnsi="Google Sans"/>
          <w:color w:val="1f1f1f"/>
          <w:rtl w:val="0"/>
        </w:rPr>
        <w:t xml:space="preserve"> De manera colindante o concéntrica a la cuadrícula de impacto recién ejecutada, se procede a extraer núcleos de concreto utilizando taladros con broca de diamante, cumpliendo los lineamientos de extracción y manejo de la norma ASTM C42 o NTC 3394</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ACI 228.1R requiere un mínimo de dos (2) núcleos por cada zona de prueba, resultando en un universo base de al menos doce (12) cilindros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Falla y Análisis de Regresión:</w:t>
      </w:r>
      <w:r w:rsidDel="00000000" w:rsidR="00000000" w:rsidRPr="00000000">
        <w:rPr>
          <w:rFonts w:ascii="Google Sans" w:cs="Google Sans" w:eastAsia="Google Sans" w:hAnsi="Google Sans"/>
          <w:color w:val="1f1f1f"/>
          <w:rtl w:val="0"/>
        </w:rPr>
        <w:t xml:space="preserve"> Tras acondicionar los núcleos (corte, refrentado y humectación controlada), estos son llevados a la falla en una máquina universal de ensayos a compresión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Modelado Estadístico:</w:t>
      </w:r>
      <w:r w:rsidDel="00000000" w:rsidR="00000000" w:rsidRPr="00000000">
        <w:rPr>
          <w:rFonts w:ascii="Google Sans" w:cs="Google Sans" w:eastAsia="Google Sans" w:hAnsi="Google Sans"/>
          <w:color w:val="1f1f1f"/>
          <w:rtl w:val="0"/>
        </w:rPr>
        <w:t xml:space="preserve"> Con los pares de datos empíricos (</w:t>
      </w:r>
      <w:r w:rsidDel="00000000" w:rsidR="00000000" w:rsidRPr="00000000">
        <w:rPr>
          <w:rFonts w:ascii="Google Sans" w:cs="Google Sans" w:eastAsia="Google Sans" w:hAnsi="Google Sans"/>
          <w:color w:val="1f1f1f"/>
        </w:rPr>
        <w:drawing>
          <wp:inline distB="19050" distT="19050" distL="19050" distR="19050">
            <wp:extent cx="150316" cy="244263"/>
            <wp:effectExtent b="0" l="0" r="0" t="0"/>
            <wp:docPr id="1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0316" cy="2442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color w:val="1f1f1f"/>
        </w:rPr>
        <w:drawing>
          <wp:inline distB="19050" distT="19050" distL="19050" distR="19050">
            <wp:extent cx="165200" cy="252658"/>
            <wp:effectExtent b="0" l="0" r="0" t="0"/>
            <wp:docPr id="13"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65200" cy="252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ejecuta un análisis de regresión mediante mínimos cuadrados. Dependiendo del comportamiento reológico del material, se puede optar por un modelo de ajuste lineal </w:t>
      </w:r>
      <w:r w:rsidDel="00000000" w:rsidR="00000000" w:rsidRPr="00000000">
        <w:rPr>
          <w:rFonts w:ascii="Google Sans" w:cs="Google Sans" w:eastAsia="Google Sans" w:hAnsi="Google Sans"/>
          <w:color w:val="1f1f1f"/>
        </w:rPr>
        <w:drawing>
          <wp:inline distB="19050" distT="19050" distL="19050" distR="19050">
            <wp:extent cx="1332909" cy="247540"/>
            <wp:effectExtent b="0" l="0" r="0" t="0"/>
            <wp:docPr id="14"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1332909" cy="2475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 modelos no lineales (polinómicos o exponenciales) que describan más fielmente la curva de tendencia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esfuerzo de calibración cruzada logra restringir dramáticamente el margen de incertidumbre operativa, consolidando estimaciones de resistencia con márgenes de error reducidos a rangos aceptables de </w:t>
      </w:r>
      <w:r w:rsidDel="00000000" w:rsidR="00000000" w:rsidRPr="00000000">
        <w:rPr>
          <w:rFonts w:ascii="Google Sans" w:cs="Google Sans" w:eastAsia="Google Sans" w:hAnsi="Google Sans"/>
          <w:color w:val="1f1f1f"/>
        </w:rPr>
        <w:drawing>
          <wp:inline distB="19050" distT="19050" distL="19050" distR="19050">
            <wp:extent cx="863203" cy="237144"/>
            <wp:effectExtent b="0" l="0" r="0" t="0"/>
            <wp:docPr id="15"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863203" cy="237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877" cy="246683"/>
            <wp:effectExtent b="0" l="0" r="0" t="0"/>
            <wp:docPr id="16"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872877" cy="2466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superando el umbral de confiabilidad del 95% requerido para el análisis forense de la seguridad estructural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Métodos Combinados: Integración SonReb (NTC 3692 + NTC 4325)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vanguardia de la evaluación patológica y el diagnóstico avanzado de infraestructuras complejas, la literatura especializada y directrices como las del ACI desaconsejan depender de un único método indirecto. La estrategia más eficaz y estandarizada en Colombia para maximizar la fiabilidad y mitigar el espectro de variables de influencia es el enfoque híbrido denominado "SonReb" (Sonic + Rebound)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método SonReb fusiona la medición de dureza superficial conferida por el esclerómetro (NTC 3692 / ASTM C805) con la medición de las propiedades elásticas subsuperficiales proporcionada por el ensayo de Velocidad de Pulso Ultrasónico (UPV), estandarizado en Colombia bajo la NTC 4325 y equivalente a la ASTM C597</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técnica de ultrasonido NTC 4325 implica el uso de transductores piezoeléctricos acoplados a la superficie del concreto (usualmente mediante geles o grasas acústicas). Un emisor genera pulsos de ondas de tensión longitudinales (frecuencias típicas entre 50 y 60 kHz), mientras que el equipo electrónico mide el tiempo de tránsito (</w:t>
      </w:r>
      <w:r w:rsidDel="00000000" w:rsidR="00000000" w:rsidRPr="00000000">
        <w:rPr>
          <w:rFonts w:ascii="Google Sans" w:cs="Google Sans" w:eastAsia="Google Sans" w:hAnsi="Google Sans"/>
          <w:color w:val="1f1f1f"/>
        </w:rPr>
        <w:drawing>
          <wp:inline distB="19050" distT="19050" distL="19050" distR="19050">
            <wp:extent cx="141536" cy="245329"/>
            <wp:effectExtent b="0" l="0" r="0" t="0"/>
            <wp:docPr id="17" name="image3.png"/>
            <a:graphic>
              <a:graphicData uri="http://schemas.openxmlformats.org/drawingml/2006/picture">
                <pic:pic>
                  <pic:nvPicPr>
                    <pic:cNvPr id="0" name="image3.png"/>
                    <pic:cNvPicPr preferRelativeResize="0"/>
                  </pic:nvPicPr>
                  <pic:blipFill>
                    <a:blip r:embed="rId37"/>
                    <a:srcRect b="0" l="0" r="0" t="0"/>
                    <a:stretch>
                      <a:fillRect/>
                    </a:stretch>
                  </pic:blipFill>
                  <pic:spPr>
                    <a:xfrm>
                      <a:off x="0" y="0"/>
                      <a:ext cx="141536" cy="2453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expresado en microsegundos, </w:t>
      </w:r>
      <w:r w:rsidDel="00000000" w:rsidR="00000000" w:rsidRPr="00000000">
        <w:rPr>
          <w:rFonts w:ascii="Google Sans" w:cs="Google Sans" w:eastAsia="Google Sans" w:hAnsi="Google Sans"/>
          <w:color w:val="1f1f1f"/>
        </w:rPr>
        <w:drawing>
          <wp:inline distB="19050" distT="19050" distL="19050" distR="19050">
            <wp:extent cx="210145" cy="248354"/>
            <wp:effectExtent b="0" l="0" r="0" t="0"/>
            <wp:docPr id="1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210145" cy="24835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tarda el pulso en llegar a un receptor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Conocida la longitud de la trayectoria (</w:t>
      </w:r>
      <w:r w:rsidDel="00000000" w:rsidR="00000000" w:rsidRPr="00000000">
        <w:rPr>
          <w:rFonts w:ascii="Google Sans" w:cs="Google Sans" w:eastAsia="Google Sans" w:hAnsi="Google Sans"/>
          <w:color w:val="1f1f1f"/>
        </w:rPr>
        <w:drawing>
          <wp:inline distB="19050" distT="19050" distL="19050" distR="19050">
            <wp:extent cx="133499" cy="247926"/>
            <wp:effectExtent b="0" l="0" r="0" t="0"/>
            <wp:docPr id="19" name="image29.png"/>
            <a:graphic>
              <a:graphicData uri="http://schemas.openxmlformats.org/drawingml/2006/picture">
                <pic:pic>
                  <pic:nvPicPr>
                    <pic:cNvPr id="0" name="image29.png"/>
                    <pic:cNvPicPr preferRelativeResize="0"/>
                  </pic:nvPicPr>
                  <pic:blipFill>
                    <a:blip r:embed="rId39"/>
                    <a:srcRect b="0" l="0" r="0" t="0"/>
                    <a:stretch>
                      <a:fillRect/>
                    </a:stretch>
                  </pic:blipFill>
                  <pic:spPr>
                    <a:xfrm>
                      <a:off x="0" y="0"/>
                      <a:ext cx="133499" cy="2479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velocidad de propagación acústica (</w:t>
      </w:r>
      <w:r w:rsidDel="00000000" w:rsidR="00000000" w:rsidRPr="00000000">
        <w:rPr>
          <w:rFonts w:ascii="Google Sans" w:cs="Google Sans" w:eastAsia="Google Sans" w:hAnsi="Google Sans"/>
          <w:color w:val="1f1f1f"/>
        </w:rPr>
        <w:drawing>
          <wp:inline distB="19050" distT="19050" distL="19050" distR="19050">
            <wp:extent cx="157758" cy="241277"/>
            <wp:effectExtent b="0" l="0" r="0" t="0"/>
            <wp:docPr id="20" name="image16.png"/>
            <a:graphic>
              <a:graphicData uri="http://schemas.openxmlformats.org/drawingml/2006/picture">
                <pic:pic>
                  <pic:nvPicPr>
                    <pic:cNvPr id="0" name="image16.png"/>
                    <pic:cNvPicPr preferRelativeResize="0"/>
                  </pic:nvPicPr>
                  <pic:blipFill>
                    <a:blip r:embed="rId40"/>
                    <a:srcRect b="0" l="0" r="0" t="0"/>
                    <a:stretch>
                      <a:fillRect/>
                    </a:stretch>
                  </pic:blipFill>
                  <pic:spPr>
                    <a:xfrm>
                      <a:off x="0" y="0"/>
                      <a:ext cx="157758" cy="2412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 calcula como </w:t>
      </w:r>
      <w:r w:rsidDel="00000000" w:rsidR="00000000" w:rsidRPr="00000000">
        <w:rPr>
          <w:rFonts w:ascii="Google Sans" w:cs="Google Sans" w:eastAsia="Google Sans" w:hAnsi="Google Sans"/>
          <w:color w:val="1f1f1f"/>
        </w:rPr>
        <w:drawing>
          <wp:inline distB="19050" distT="19050" distL="19050" distR="19050">
            <wp:extent cx="792063" cy="248116"/>
            <wp:effectExtent b="0" l="0" r="0" t="0"/>
            <wp:docPr id="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792063" cy="24811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La onda acústica viaja más rápido a través de matrices densas, ricas en agregados duros y exentas de defectos. Si el pulso encuentra zonas mal compactadas, nidos de segregación, o microfisuras, la onda debe difractarse alrededor de las cavidades llenas de aire (cuya velocidad de transmisión es ínfima), aumentando el tiempo de vuelo y resultando en velocidades más bajas calculadas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sinergia fenomenológica del método SonReb radica en la ortogonalidad de la respuesta de ambos ensayos frente a las perturbaciones exógenas. Variables que penalizan artificialmente el ensayo de esclerometría, simultáneamente benefician al pulso ultrasónico, y viceversa. El ejemplo clásico reside en la humedad capilar: mientras la presencia de agua reduce drásticamente el índice de rebote elástico (llevando a subestimar la resistencia), el agua incrementa la velocidad del pulso ultrasónico (ya que la onda viaja más rápido en agua que en aire vacío), llevando a una sobrestimación en los análisis UPV aislados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procesar ambos conjuntos de datos en paralelo a través de un modelo de regresión no lineal múltiple —típicamente formulado como </w:t>
      </w:r>
      <w:r w:rsidDel="00000000" w:rsidR="00000000" w:rsidRPr="00000000">
        <w:rPr>
          <w:rFonts w:ascii="Google Sans" w:cs="Google Sans" w:eastAsia="Google Sans" w:hAnsi="Google Sans"/>
          <w:color w:val="1f1f1f"/>
        </w:rPr>
        <w:drawing>
          <wp:inline distB="19050" distT="19050" distL="19050" distR="19050">
            <wp:extent cx="1281265" cy="246762"/>
            <wp:effectExtent b="0" l="0" r="0" t="0"/>
            <wp:docPr id="2" name="image18.png"/>
            <a:graphic>
              <a:graphicData uri="http://schemas.openxmlformats.org/drawingml/2006/picture">
                <pic:pic>
                  <pic:nvPicPr>
                    <pic:cNvPr id="0" name="image18.png"/>
                    <pic:cNvPicPr preferRelativeResize="0"/>
                  </pic:nvPicPr>
                  <pic:blipFill>
                    <a:blip r:embed="rId42"/>
                    <a:srcRect b="0" l="0" r="0" t="0"/>
                    <a:stretch>
                      <a:fillRect/>
                    </a:stretch>
                  </pic:blipFill>
                  <pic:spPr>
                    <a:xfrm>
                      <a:off x="0" y="0"/>
                      <a:ext cx="1281265" cy="24676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donde </w:t>
      </w:r>
      <w:r w:rsidDel="00000000" w:rsidR="00000000" w:rsidRPr="00000000">
        <w:rPr>
          <w:rFonts w:ascii="Google Sans" w:cs="Google Sans" w:eastAsia="Google Sans" w:hAnsi="Google Sans"/>
          <w:color w:val="1f1f1f"/>
        </w:rPr>
        <w:drawing>
          <wp:inline distB="19050" distT="19050" distL="19050" distR="19050">
            <wp:extent cx="103733" cy="245187"/>
            <wp:effectExtent b="0" l="0" r="0" t="0"/>
            <wp:docPr id="3"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103733" cy="2451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4088" cy="242920"/>
            <wp:effectExtent b="0" l="0" r="0" t="0"/>
            <wp:docPr id="4" name="image5.png"/>
            <a:graphic>
              <a:graphicData uri="http://schemas.openxmlformats.org/drawingml/2006/picture">
                <pic:pic>
                  <pic:nvPicPr>
                    <pic:cNvPr id="0" name="image5.png"/>
                    <pic:cNvPicPr preferRelativeResize="0"/>
                  </pic:nvPicPr>
                  <pic:blipFill>
                    <a:blip r:embed="rId44"/>
                    <a:srcRect b="0" l="0" r="0" t="0"/>
                    <a:stretch>
                      <a:fillRect/>
                    </a:stretch>
                  </pic:blipFill>
                  <pic:spPr>
                    <a:xfrm>
                      <a:off x="0" y="0"/>
                      <a:ext cx="84088" cy="242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w:t>
      </w:r>
      <w:r w:rsidDel="00000000" w:rsidR="00000000" w:rsidRPr="00000000">
        <w:rPr>
          <w:rFonts w:ascii="Google Sans" w:cs="Google Sans" w:eastAsia="Google Sans" w:hAnsi="Google Sans"/>
          <w:color w:val="1f1f1f"/>
        </w:rPr>
        <w:drawing>
          <wp:inline distB="19050" distT="19050" distL="19050" distR="19050">
            <wp:extent cx="84981" cy="245500"/>
            <wp:effectExtent b="0" l="0" r="0" t="0"/>
            <wp:docPr id="5" name="image13.png"/>
            <a:graphic>
              <a:graphicData uri="http://schemas.openxmlformats.org/drawingml/2006/picture">
                <pic:pic>
                  <pic:nvPicPr>
                    <pic:cNvPr id="0" name="image13.png"/>
                    <pic:cNvPicPr preferRelativeResize="0"/>
                  </pic:nvPicPr>
                  <pic:blipFill>
                    <a:blip r:embed="rId45"/>
                    <a:srcRect b="0" l="0" r="0" t="0"/>
                    <a:stretch>
                      <a:fillRect/>
                    </a:stretch>
                  </pic:blipFill>
                  <pic:spPr>
                    <a:xfrm>
                      <a:off x="0" y="0"/>
                      <a:ext cx="84981" cy="245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son constantes paramétricas derivadas empíricamente mediante pruebas cruzadas con núcleos extraídos— los efectos perjudiciales del contenido de agua, la densidad del agregado y la compactación se compensan mutuamente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El método SonReb incrementa monumentalmente el coeficiente de correlación (</w:t>
      </w:r>
      <w:r w:rsidDel="00000000" w:rsidR="00000000" w:rsidRPr="00000000">
        <w:rPr>
          <w:rFonts w:ascii="Google Sans" w:cs="Google Sans" w:eastAsia="Google Sans" w:hAnsi="Google Sans"/>
          <w:color w:val="1f1f1f"/>
        </w:rPr>
        <w:drawing>
          <wp:inline distB="19050" distT="19050" distL="19050" distR="19050">
            <wp:extent cx="228600" cy="247650"/>
            <wp:effectExtent b="0" l="0" r="0" t="0"/>
            <wp:docPr id="6"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228600" cy="24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proporcionando un mapeo de la capacidad portante tridimensional del elemento con una intrusión destructiva mínima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Calidad Estimado</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Índice de Rebote Típico (R)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Velocidad UPV Típica (km/s)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Interpretación y Recomendación en Evaluación Estructural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Excelente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55402" cy="211320"/>
                  <wp:effectExtent b="0" l="0" r="0" t="0"/>
                  <wp:docPr id="7" name="image4.png"/>
                  <a:graphic>
                    <a:graphicData uri="http://schemas.openxmlformats.org/drawingml/2006/picture">
                      <pic:pic>
                        <pic:nvPicPr>
                          <pic:cNvPr id="0" name="image4.png"/>
                          <pic:cNvPicPr preferRelativeResize="0"/>
                        </pic:nvPicPr>
                        <pic:blipFill>
                          <a:blip r:embed="rId47"/>
                          <a:srcRect b="0" l="0" r="0" t="0"/>
                          <a:stretch>
                            <a:fillRect/>
                          </a:stretch>
                        </pic:blipFill>
                        <pic:spPr>
                          <a:xfrm>
                            <a:off x="0" y="0"/>
                            <a:ext cx="355402" cy="2113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03473" cy="211343"/>
                  <wp:effectExtent b="0" l="0" r="0" t="0"/>
                  <wp:docPr id="8" name="image19.png"/>
                  <a:graphic>
                    <a:graphicData uri="http://schemas.openxmlformats.org/drawingml/2006/picture">
                      <pic:pic>
                        <pic:nvPicPr>
                          <pic:cNvPr id="0" name="image19.png"/>
                          <pic:cNvPicPr preferRelativeResize="0"/>
                        </pic:nvPicPr>
                        <pic:blipFill>
                          <a:blip r:embed="rId48"/>
                          <a:srcRect b="0" l="0" r="0" t="0"/>
                          <a:stretch>
                            <a:fillRect/>
                          </a:stretch>
                        </pic:blipFill>
                        <pic:spPr>
                          <a:xfrm>
                            <a:off x="0" y="0"/>
                            <a:ext cx="403473" cy="2113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Concreto masivo altamente denso, posible especificación de alta resistencia. Sin intervención requerida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Buena / Estructural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7213" cy="207774"/>
                  <wp:effectExtent b="0" l="0" r="0" t="0"/>
                  <wp:docPr id="9"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557213" cy="2077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53356" cy="208316"/>
                  <wp:effectExtent b="0" l="0" r="0" t="0"/>
                  <wp:docPr id="10" name="image12.png"/>
                  <a:graphic>
                    <a:graphicData uri="http://schemas.openxmlformats.org/drawingml/2006/picture">
                      <pic:pic>
                        <pic:nvPicPr>
                          <pic:cNvPr id="0" name="image12.png"/>
                          <pic:cNvPicPr preferRelativeResize="0"/>
                        </pic:nvPicPr>
                        <pic:blipFill>
                          <a:blip r:embed="rId50"/>
                          <a:srcRect b="0" l="0" r="0" t="0"/>
                          <a:stretch>
                            <a:fillRect/>
                          </a:stretch>
                        </pic:blipFill>
                        <pic:spPr>
                          <a:xfrm>
                            <a:off x="0" y="0"/>
                            <a:ext cx="653356" cy="2083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Calidad adecuada para elementos portantes de diseño convencional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Dudosa / Media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557213" cy="207774"/>
                  <wp:effectExtent b="0" l="0" r="0" t="0"/>
                  <wp:docPr id="38" name="image32.png"/>
                  <a:graphic>
                    <a:graphicData uri="http://schemas.openxmlformats.org/drawingml/2006/picture">
                      <pic:pic>
                        <pic:nvPicPr>
                          <pic:cNvPr id="0" name="image32.png"/>
                          <pic:cNvPicPr preferRelativeResize="0"/>
                        </pic:nvPicPr>
                        <pic:blipFill>
                          <a:blip r:embed="rId51"/>
                          <a:srcRect b="0" l="0" r="0" t="0"/>
                          <a:stretch>
                            <a:fillRect/>
                          </a:stretch>
                        </pic:blipFill>
                        <pic:spPr>
                          <a:xfrm>
                            <a:off x="0" y="0"/>
                            <a:ext cx="557213" cy="20777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653356" cy="208316"/>
                  <wp:effectExtent b="0" l="0" r="0" t="0"/>
                  <wp:docPr id="41" name="image47.png"/>
                  <a:graphic>
                    <a:graphicData uri="http://schemas.openxmlformats.org/drawingml/2006/picture">
                      <pic:pic>
                        <pic:nvPicPr>
                          <pic:cNvPr id="0" name="image47.png"/>
                          <pic:cNvPicPr preferRelativeResize="0"/>
                        </pic:nvPicPr>
                        <pic:blipFill>
                          <a:blip r:embed="rId52"/>
                          <a:srcRect b="0" l="0" r="0" t="0"/>
                          <a:stretch>
                            <a:fillRect/>
                          </a:stretch>
                        </pic:blipFill>
                        <pic:spPr>
                          <a:xfrm>
                            <a:off x="0" y="0"/>
                            <a:ext cx="653356" cy="208316"/>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Evidencia de alta porosidad, microfisuración o baja relación a/c. Requiere núcleos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Pobre / Deteriorada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355402" cy="211320"/>
                  <wp:effectExtent b="0" l="0" r="0" t="0"/>
                  <wp:docPr id="42" name="image25.png"/>
                  <a:graphic>
                    <a:graphicData uri="http://schemas.openxmlformats.org/drawingml/2006/picture">
                      <pic:pic>
                        <pic:nvPicPr>
                          <pic:cNvPr id="0" name="image25.png"/>
                          <pic:cNvPicPr preferRelativeResize="0"/>
                        </pic:nvPicPr>
                        <pic:blipFill>
                          <a:blip r:embed="rId53"/>
                          <a:srcRect b="0" l="0" r="0" t="0"/>
                          <a:stretch>
                            <a:fillRect/>
                          </a:stretch>
                        </pic:blipFill>
                        <pic:spPr>
                          <a:xfrm>
                            <a:off x="0" y="0"/>
                            <a:ext cx="355402" cy="21132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Pr>
              <w:drawing>
                <wp:inline distB="19050" distT="19050" distL="19050" distR="19050">
                  <wp:extent cx="403473" cy="211343"/>
                  <wp:effectExtent b="0" l="0" r="0" t="0"/>
                  <wp:docPr id="44" name="image40.png"/>
                  <a:graphic>
                    <a:graphicData uri="http://schemas.openxmlformats.org/drawingml/2006/picture">
                      <pic:pic>
                        <pic:nvPicPr>
                          <pic:cNvPr id="0" name="image40.png"/>
                          <pic:cNvPicPr preferRelativeResize="0"/>
                        </pic:nvPicPr>
                        <pic:blipFill>
                          <a:blip r:embed="rId54"/>
                          <a:srcRect b="0" l="0" r="0" t="0"/>
                          <a:stretch>
                            <a:fillRect/>
                          </a:stretch>
                        </pic:blipFill>
                        <pic:spPr>
                          <a:xfrm>
                            <a:off x="0" y="0"/>
                            <a:ext cx="403473" cy="211343"/>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Zona patológica crítica (hormigueros, fuego, lixiviación masiva). Demolición o refuerzo obligatorio</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la Calidad y Requisitos de Reporte bajo ISO/IEC 17025 e ISO 1920-7</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toma de decisiones de índole forense, las auditorías de obra y los litigios judiciales por fallas estructurales o incumplimientos de pliegos de contratación basan su solidez argumentativa en la calidad de la información metrológica. La norma ISO 1920-7 establece pautas técnicas específicas sobre la documentación del ensayo de esclerometría, mientras que el marco supranacional ISO/IEC 17025 ("Requisitos generales para la competencia de los laboratorios de ensayo y calibración") impone la estructura legal y de gestión de calidad aplicable a la entidad que emite el reporte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Colombia, la acreditación bajo la norma ISO 17025 está gestionada por el Organismo Nacional de Acreditación de Colombia (ONAC). Los laboratorios que aspiran a que sus resultados sean incuestionables deben ceñirse rigurosamente al Capítulo 7.8 de dicha norma (Informes de resultados), así como a los criterios suplementarios establecidos por documentos del ONAC como el CEA-3.0-04 (Política para la participación en Ensayos de Aptitud)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Estructuración Formal y Administrativa (ISO 17025 - 7.8.2)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emisión de un informe técnico válido bajo ISO 17025 (apartado 7.8.2.1) impone una trazabilidad inquebrantable de la información. El documento debe poseer una identificación institucional clara, paginación ininterrumpida que advierta su indivisibilidad y una declaración inequívoca de la normatividad ejecutada (e.g., NTC 3692 o ISO 1920-7)</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elemento crucial de esta sección es la </w:t>
      </w:r>
      <w:r w:rsidDel="00000000" w:rsidR="00000000" w:rsidRPr="00000000">
        <w:rPr>
          <w:rFonts w:ascii="Google Sans" w:cs="Google Sans" w:eastAsia="Google Sans" w:hAnsi="Google Sans"/>
          <w:b w:val="1"/>
          <w:bCs w:val="1"/>
          <w:color w:val="1f1f1f"/>
          <w:rtl w:val="0"/>
        </w:rPr>
        <w:t xml:space="preserve">trazabilidad de las mediciones</w:t>
      </w:r>
      <w:r w:rsidDel="00000000" w:rsidR="00000000" w:rsidRPr="00000000">
        <w:rPr>
          <w:rFonts w:ascii="Google Sans" w:cs="Google Sans" w:eastAsia="Google Sans" w:hAnsi="Google Sans"/>
          <w:color w:val="1f1f1f"/>
          <w:rtl w:val="0"/>
        </w:rPr>
        <w:t xml:space="preserve"> y el cronograma de ejecución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El laboratorio está obligado a declarar las fechas de recepción de la solicitud, la fecha de ejecución in situ (clave para correlacionar con la edad del concreto) y la fecha de expedición, junto a la identificación y las firmas autorizadas de los signatarios técnicos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Trazabilidad y Certificación Metrológica del Equipo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esclerómetro no es una regla estática; es un instrumento dinámico sometido a estrés mecánico, abrasión interna y fatiga del resorte en cada ciclo de disparo. Por tanto, el informe debe certificar metrológicamente el estado operativo del dispositivo. De acuerdo a la interrelación entre la ISO 17025 y la ISO 1920-7, se debe incluir:</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Identificación única del equipo (marca, modelo, número de serie, tipo de energía de impacto N, L o M)</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Constancia de la última calibración semestral obligatoria (indicando el laboratorio de metrología calibrador)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Registro numérico explícito de las lecturas de verificación obtenidas al golpear el yunque de calibración de referencia (52 HRC, 16 kg) tanto al inicio de la jornada de trabajo como al final, asegurando que el equipo operó dentro del umbral nominal del fabricante (generalmente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47" name="image46.png"/>
            <a:graphic>
              <a:graphicData uri="http://schemas.openxmlformats.org/drawingml/2006/picture">
                <pic:pic>
                  <pic:nvPicPr>
                    <pic:cNvPr id="0" name="image46.png"/>
                    <pic:cNvPicPr preferRelativeResize="0"/>
                  </pic:nvPicPr>
                  <pic:blipFill>
                    <a:blip r:embed="rId55"/>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unidades alrededor del 80) durante todo el mapeo de la estructura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Información Técnica y Ambiental Específica (ISO 1920-7)</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Adicionalmente a los requerimientos del sistema de gestión, el cuerpo técnico del informe debe facilitar la reproducibilidad total del ensayo y su auditoría patológica cruzada. El informe no debe consistir meramente en un número final de </w:t>
      </w:r>
      <w:r w:rsidDel="00000000" w:rsidR="00000000" w:rsidRPr="00000000">
        <w:rPr>
          <w:rFonts w:ascii="Google Sans" w:cs="Google Sans" w:eastAsia="Google Sans" w:hAnsi="Google Sans"/>
          <w:color w:val="1f1f1f"/>
        </w:rPr>
        <w:drawing>
          <wp:inline distB="19050" distT="19050" distL="19050" distR="19050">
            <wp:extent cx="165200" cy="252658"/>
            <wp:effectExtent b="0" l="0" r="0" t="0"/>
            <wp:docPr id="49"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65200" cy="252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La norma ISO 1920-7 y manuales forenses exigen la inclusión de:</w:t>
      </w:r>
    </w:p>
    <w:p w:rsidR="00000000" w:rsidDel="00000000" w:rsidP="00000000" w:rsidRDefault="00000000" w:rsidRPr="00000000" w14:paraId="00000084">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Macro y Micro Localización:</w:t>
      </w:r>
      <w:r w:rsidDel="00000000" w:rsidR="00000000" w:rsidRPr="00000000">
        <w:rPr>
          <w:rFonts w:ascii="Google Sans" w:cs="Google Sans" w:eastAsia="Google Sans" w:hAnsi="Google Sans"/>
          <w:color w:val="1f1f1f"/>
          <w:rtl w:val="0"/>
        </w:rPr>
        <w:t xml:space="preserve"> Identificación inequívoca del elemento estructural mediante nomenclatura planimétrica (por ejemplo, "Placa de entrepiso Nivel 3, Eje B-4, cuadrante Nororiente")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Dimensiones geométricas del elemento y condiciones de soporte (vital para justificar evaluaciones en elementos delgados)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Preparación Superficial:</w:t>
      </w:r>
      <w:r w:rsidDel="00000000" w:rsidR="00000000" w:rsidRPr="00000000">
        <w:rPr>
          <w:rFonts w:ascii="Google Sans" w:cs="Google Sans" w:eastAsia="Google Sans" w:hAnsi="Google Sans"/>
          <w:color w:val="1f1f1f"/>
          <w:rtl w:val="0"/>
        </w:rPr>
        <w:t xml:space="preserve"> Descripción del tratamiento ejecutado. Debe declararse de forma obligatoria si se aplicó pulido abrasivo con carburo de silicio, la profundidad del desbaste, y si se observó o verificó la presencia de carbonatación profunda o humedad persistente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Registro Ambiental:</w:t>
      </w:r>
      <w:r w:rsidDel="00000000" w:rsidR="00000000" w:rsidRPr="00000000">
        <w:rPr>
          <w:rFonts w:ascii="Google Sans" w:cs="Google Sans" w:eastAsia="Google Sans" w:hAnsi="Google Sans"/>
          <w:color w:val="1f1f1f"/>
          <w:rtl w:val="0"/>
        </w:rPr>
        <w:t xml:space="preserve"> Las temperaturas ambientales al momento del ensayo, dado que inciden en el factor de expansión de los componentes elásticos del concreto y dictaminan riesgos de congelamiento anómalo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Matriz de Datos y Tratamiento:</w:t>
      </w:r>
      <w:r w:rsidDel="00000000" w:rsidR="00000000" w:rsidRPr="00000000">
        <w:rPr>
          <w:rFonts w:ascii="Google Sans" w:cs="Google Sans" w:eastAsia="Google Sans" w:hAnsi="Google Sans"/>
          <w:color w:val="1f1f1f"/>
          <w:rtl w:val="0"/>
        </w:rPr>
        <w:t xml:space="preserve"> Se deben presentar de forma tabular las 10 lecturas crudas obtenidas por cuadrícula y documentar el ángulo de operación del martillo (horizontal, </w:t>
      </w:r>
      <w:r w:rsidDel="00000000" w:rsidR="00000000" w:rsidRPr="00000000">
        <w:rPr>
          <w:rFonts w:ascii="Google Sans" w:cs="Google Sans" w:eastAsia="Google Sans" w:hAnsi="Google Sans"/>
          <w:color w:val="1f1f1f"/>
        </w:rPr>
        <w:drawing>
          <wp:inline distB="19050" distT="19050" distL="19050" distR="19050">
            <wp:extent cx="426988" cy="237215"/>
            <wp:effectExtent b="0" l="0" r="0" t="0"/>
            <wp:docPr id="52" name="image36.png"/>
            <a:graphic>
              <a:graphicData uri="http://schemas.openxmlformats.org/drawingml/2006/picture">
                <pic:pic>
                  <pic:nvPicPr>
                    <pic:cNvPr id="0" name="image36.png"/>
                    <pic:cNvPicPr preferRelativeResize="0"/>
                  </pic:nvPicPr>
                  <pic:blipFill>
                    <a:blip r:embed="rId56"/>
                    <a:srcRect b="0" l="0" r="0" t="0"/>
                    <a:stretch>
                      <a:fillRect/>
                    </a:stretch>
                  </pic:blipFill>
                  <pic:spPr>
                    <a:xfrm>
                      <a:off x="0" y="0"/>
                      <a:ext cx="426988" cy="237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426988" cy="237215"/>
            <wp:effectExtent b="0" l="0" r="0" t="0"/>
            <wp:docPr id="54" name="image45.png"/>
            <a:graphic>
              <a:graphicData uri="http://schemas.openxmlformats.org/drawingml/2006/picture">
                <pic:pic>
                  <pic:nvPicPr>
                    <pic:cNvPr id="0" name="image45.png"/>
                    <pic:cNvPicPr preferRelativeResize="0"/>
                  </pic:nvPicPr>
                  <pic:blipFill>
                    <a:blip r:embed="rId57"/>
                    <a:srcRect b="0" l="0" r="0" t="0"/>
                    <a:stretch>
                      <a:fillRect/>
                    </a:stretch>
                  </pic:blipFill>
                  <pic:spPr>
                    <a:xfrm>
                      <a:off x="0" y="0"/>
                      <a:ext cx="426988" cy="237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y sus factores de corrección angulares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Debe detallarse explícitamente qué lecturas fueron marcadas como atípicas y desechadas (por exceder la brecha de las </w:t>
      </w:r>
      <w:r w:rsidDel="00000000" w:rsidR="00000000" w:rsidRPr="00000000">
        <w:rPr>
          <w:rFonts w:ascii="Google Sans" w:cs="Google Sans" w:eastAsia="Google Sans" w:hAnsi="Google Sans"/>
          <w:color w:val="1f1f1f"/>
        </w:rPr>
        <w:drawing>
          <wp:inline distB="19050" distT="19050" distL="19050" distR="19050">
            <wp:extent cx="250627" cy="240987"/>
            <wp:effectExtent b="0" l="0" r="0" t="0"/>
            <wp:docPr id="56" name="image43.png"/>
            <a:graphic>
              <a:graphicData uri="http://schemas.openxmlformats.org/drawingml/2006/picture">
                <pic:pic>
                  <pic:nvPicPr>
                    <pic:cNvPr id="0" name="image43.png"/>
                    <pic:cNvPicPr preferRelativeResize="0"/>
                  </pic:nvPicPr>
                  <pic:blipFill>
                    <a:blip r:embed="rId58"/>
                    <a:srcRect b="0" l="0" r="0" t="0"/>
                    <a:stretch>
                      <a:fillRect/>
                    </a:stretch>
                  </pic:blipFill>
                  <pic:spPr>
                    <a:xfrm>
                      <a:off x="0" y="0"/>
                      <a:ext cx="250627" cy="240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unidades respecto a la media base) y si el área fue declarada inválida por exceso de varianza</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Declaración del Indicador Central:</w:t>
      </w:r>
      <w:r w:rsidDel="00000000" w:rsidR="00000000" w:rsidRPr="00000000">
        <w:rPr>
          <w:rFonts w:ascii="Google Sans" w:cs="Google Sans" w:eastAsia="Google Sans" w:hAnsi="Google Sans"/>
          <w:color w:val="1f1f1f"/>
          <w:rtl w:val="0"/>
        </w:rPr>
        <w:t xml:space="preserve"> Especificar si el índice final reportado es un promedio depurado (estándar ACI/NTC) o la mediana de la población (opcional en ISO)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Incertidumbre, Reglas de Decisión y Opiniones (ISO 17025 - 7.8.6 y 7.8.7)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la evaluación forense, el ingeniero dicta resoluciones sobre el futuro de la estructura (aceptación, reforzamiento estructural con polímeros reforzados con fibra, demolición). Cuando el reporte establece una declaración de conformidad (e.g., dictaminando que la columna C-5 no cumple con el </w:t>
      </w:r>
      <w:r w:rsidDel="00000000" w:rsidR="00000000" w:rsidRPr="00000000">
        <w:rPr>
          <w:rFonts w:ascii="Google Sans" w:cs="Google Sans" w:eastAsia="Google Sans" w:hAnsi="Google Sans"/>
          <w:color w:val="1f1f1f"/>
        </w:rPr>
        <w:drawing>
          <wp:inline distB="19050" distT="19050" distL="19050" distR="19050">
            <wp:extent cx="165200" cy="252658"/>
            <wp:effectExtent b="0" l="0" r="0" t="0"/>
            <wp:docPr id="58"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165200" cy="2526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 </w:t>
      </w:r>
      <w:r w:rsidDel="00000000" w:rsidR="00000000" w:rsidRPr="00000000">
        <w:rPr>
          <w:rFonts w:ascii="Google Sans" w:cs="Google Sans" w:eastAsia="Google Sans" w:hAnsi="Google Sans"/>
          <w:color w:val="1f1f1f"/>
        </w:rPr>
        <w:drawing>
          <wp:inline distB="19050" distT="19050" distL="19050" distR="19050">
            <wp:extent cx="656183" cy="237747"/>
            <wp:effectExtent b="0" l="0" r="0" t="0"/>
            <wp:docPr id="37" name="image28.png"/>
            <a:graphic>
              <a:graphicData uri="http://schemas.openxmlformats.org/drawingml/2006/picture">
                <pic:pic>
                  <pic:nvPicPr>
                    <pic:cNvPr id="0" name="image28.png"/>
                    <pic:cNvPicPr preferRelativeResize="0"/>
                  </pic:nvPicPr>
                  <pic:blipFill>
                    <a:blip r:embed="rId59"/>
                    <a:srcRect b="0" l="0" r="0" t="0"/>
                    <a:stretch>
                      <a:fillRect/>
                    </a:stretch>
                  </pic:blipFill>
                  <pic:spPr>
                    <a:xfrm>
                      <a:off x="0" y="0"/>
                      <a:ext cx="656183" cy="2377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estipulado en los diseños originales, violando la NSR-10), la ISO 17025 (numeral 7.8.6) obliga al laboratorio a aplicar y declarar una "regla de decisión" incorporando la </w:t>
      </w:r>
      <w:r w:rsidDel="00000000" w:rsidR="00000000" w:rsidRPr="00000000">
        <w:rPr>
          <w:rFonts w:ascii="Google Sans" w:cs="Google Sans" w:eastAsia="Google Sans" w:hAnsi="Google Sans"/>
          <w:b w:val="1"/>
          <w:bCs w:val="1"/>
          <w:color w:val="1f1f1f"/>
          <w:rtl w:val="0"/>
        </w:rPr>
        <w:t xml:space="preserve">incertidumbre de medición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incertidumbre de la estimación de resistencia mediante esclerometría es elevada e involucra la combinación estocástica del sesgo del equipo, el error del operador humano, el error estadístico tipo A de las 10 percusiones, y fundamentalmente, el ancho de banda del intervalo de confianza del modelo de regresión lineal (Anexo A) que vincula rebote con cilindros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Ignorar esta incertidumbre (</w:t>
      </w:r>
      <w:r w:rsidDel="00000000" w:rsidR="00000000" w:rsidRPr="00000000">
        <w:rPr>
          <w:rFonts w:ascii="Google Sans" w:cs="Google Sans" w:eastAsia="Google Sans" w:hAnsi="Google Sans"/>
          <w:color w:val="1f1f1f"/>
        </w:rPr>
        <w:drawing>
          <wp:inline distB="19050" distT="19050" distL="19050" distR="19050">
            <wp:extent cx="863203" cy="237144"/>
            <wp:effectExtent b="0" l="0" r="0" t="0"/>
            <wp:docPr id="2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863203" cy="2371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puede derivar en falsos positivos catastróficos o demoliciones innecesarias de obras conformes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inciso 7.8.7 rige las "Opiniones e Interpretaciones". Si el informe del laboratorio trasciende la mera presentación fría de los datos matemáticos y procede a correlacionar estos índices de rebote con patologías, sugerir causas de baja resistencia (fallo de curado en obra, exceso de relación a/c, carbonatación progresiva) o emitir alertas de seguridad estructural, el documento debe segmentar claramente estos párrafos, declarándolos como opiniones técnicas y señalando bajo qué autoridad pericial, modelo empírico o base reglamentaria de la NSR-10 (e.g., el capítulo C.20) se sustentan</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interconexión armónica de los rigores termodinámicos, la observancia reglamentaria de la NSR-10 para la seguridad nacional, las minuciosas metodologías de preparación de la ISO 1920-7 y la trazabilidad documental infranqueable de la ISO 17025 transforman la simpleza percutiva del martillo de Schmidt en una de las herramientas de diagnóstico forense de mayor trascendencia, eficiencia y confiabilidad en la supervisión de la infraestructura contemporánea.</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EVALUACIÓN DEL CONCRETO POR EL ESCLERÓMETRO, </w:t>
      </w:r>
      <w:hyperlink r:id="rId60">
        <w:r w:rsidDel="00000000" w:rsidR="00000000" w:rsidRPr="00000000">
          <w:rPr>
            <w:rFonts w:ascii="Google Sans" w:cs="Google Sans" w:eastAsia="Google Sans" w:hAnsi="Google Sans"/>
            <w:color w:val="0000ee"/>
            <w:sz w:val="24"/>
            <w:szCs w:val="24"/>
            <w:u w:val="single"/>
            <w:rtl w:val="0"/>
          </w:rPr>
          <w:t xml:space="preserve">https://www.sioingenieria.com/portal/novedades/evaluacion-del-concreto-por-el-esclerometro</w:t>
        </w:r>
      </w:hyperlink>
      <w:r w:rsidDel="00000000" w:rsidR="00000000" w:rsidRPr="00000000">
        <w:rPr>
          <w:rtl w:val="0"/>
        </w:rPr>
      </w:r>
    </w:p>
    <w:p w:rsidR="00000000" w:rsidDel="00000000" w:rsidP="00000000" w:rsidRDefault="00000000" w:rsidRPr="00000000" w14:paraId="0000009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Schmidt Rebound Hammer for Concrete Surface Hardness, </w:t>
      </w:r>
      <w:hyperlink r:id="rId61">
        <w:r w:rsidDel="00000000" w:rsidR="00000000" w:rsidRPr="00000000">
          <w:rPr>
            <w:rFonts w:ascii="Google Sans" w:cs="Google Sans" w:eastAsia="Google Sans" w:hAnsi="Google Sans"/>
            <w:color w:val="0000ee"/>
            <w:sz w:val="24"/>
            <w:szCs w:val="24"/>
            <w:u w:val="single"/>
            <w:rtl w:val="0"/>
          </w:rPr>
          <w:t xml:space="preserve">https://www.tarmacview.com/glossary/rebound-hammer/</w:t>
        </w:r>
      </w:hyperlink>
      <w:r w:rsidDel="00000000" w:rsidR="00000000" w:rsidRPr="00000000">
        <w:rPr>
          <w:rtl w:val="0"/>
        </w:rPr>
      </w:r>
    </w:p>
    <w:p w:rsidR="00000000" w:rsidDel="00000000" w:rsidP="00000000" w:rsidRDefault="00000000" w:rsidRPr="00000000" w14:paraId="0000009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Non-destructive evaluation of solid fired clay brick strength, </w:t>
      </w:r>
      <w:hyperlink r:id="rId62">
        <w:r w:rsidDel="00000000" w:rsidR="00000000" w:rsidRPr="00000000">
          <w:rPr>
            <w:rFonts w:ascii="Google Sans" w:cs="Google Sans" w:eastAsia="Google Sans" w:hAnsi="Google Sans"/>
            <w:color w:val="0000ee"/>
            <w:sz w:val="24"/>
            <w:szCs w:val="24"/>
            <w:u w:val="single"/>
            <w:rtl w:val="0"/>
          </w:rPr>
          <w:t xml:space="preserve">https://www.researchgate.net/publication/392129068_Non-destructive_evaluation_of_solid_fired_clay_brick_strength_using_the_SonReb_method</w:t>
        </w:r>
      </w:hyperlink>
      <w:r w:rsidDel="00000000" w:rsidR="00000000" w:rsidRPr="00000000">
        <w:rPr>
          <w:rtl w:val="0"/>
        </w:rPr>
      </w:r>
    </w:p>
    <w:p w:rsidR="00000000" w:rsidDel="00000000" w:rsidP="00000000" w:rsidRDefault="00000000" w:rsidRPr="00000000" w14:paraId="0000009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Rebound Hammer Test (IS 13311 Part 2) — NABL Lab - NKMPV, </w:t>
      </w:r>
      <w:hyperlink r:id="rId63">
        <w:r w:rsidDel="00000000" w:rsidR="00000000" w:rsidRPr="00000000">
          <w:rPr>
            <w:rFonts w:ascii="Google Sans" w:cs="Google Sans" w:eastAsia="Google Sans" w:hAnsi="Google Sans"/>
            <w:color w:val="0000ee"/>
            <w:sz w:val="24"/>
            <w:szCs w:val="24"/>
            <w:u w:val="single"/>
            <w:rtl w:val="0"/>
          </w:rPr>
          <w:t xml:space="preserve">https://nkmpv.com/services/rebound-hammer-test</w:t>
        </w:r>
      </w:hyperlink>
      <w:r w:rsidDel="00000000" w:rsidR="00000000" w:rsidRPr="00000000">
        <w:rPr>
          <w:rtl w:val="0"/>
        </w:rPr>
      </w:r>
    </w:p>
    <w:p w:rsidR="00000000" w:rsidDel="00000000" w:rsidP="00000000" w:rsidRDefault="00000000" w:rsidRPr="00000000" w14:paraId="0000009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Estimate Concrete Strength Using Rebound Hammer, </w:t>
      </w:r>
      <w:hyperlink r:id="rId64">
        <w:r w:rsidDel="00000000" w:rsidR="00000000" w:rsidRPr="00000000">
          <w:rPr>
            <w:rFonts w:ascii="Google Sans" w:cs="Google Sans" w:eastAsia="Google Sans" w:hAnsi="Google Sans"/>
            <w:color w:val="0000ee"/>
            <w:sz w:val="24"/>
            <w:szCs w:val="24"/>
            <w:u w:val="single"/>
            <w:rtl w:val="0"/>
          </w:rPr>
          <w:t xml:space="preserve">https://fprimec.com/estimate-concrete-strength-using-rebound-hammer/</w:t>
        </w:r>
      </w:hyperlink>
      <w:r w:rsidDel="00000000" w:rsidR="00000000" w:rsidRPr="00000000">
        <w:rPr>
          <w:rtl w:val="0"/>
        </w:rPr>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Assessment of the Reliability of Rebound Hammer Testing on, </w:t>
      </w:r>
      <w:hyperlink r:id="rId65">
        <w:r w:rsidDel="00000000" w:rsidR="00000000" w:rsidRPr="00000000">
          <w:rPr>
            <w:rFonts w:ascii="Google Sans" w:cs="Google Sans" w:eastAsia="Google Sans" w:hAnsi="Google Sans"/>
            <w:color w:val="0000ee"/>
            <w:sz w:val="24"/>
            <w:szCs w:val="24"/>
            <w:u w:val="single"/>
            <w:rtl w:val="0"/>
          </w:rPr>
          <w:t xml:space="preserve">https://www.researchgate.net/publication/338680234_Assessment_of_the_Reliability_of_Rebound_Hammer_Testing_on_the_Estimation_of_Concrete_Compressive_Strength</w:t>
        </w:r>
      </w:hyperlink>
      <w:r w:rsidDel="00000000" w:rsidR="00000000" w:rsidRPr="00000000">
        <w:rPr>
          <w:rtl w:val="0"/>
        </w:rPr>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NSR-10 CAPITULO C.5 - OBRAS CIVILES, </w:t>
      </w:r>
      <w:hyperlink r:id="rId66">
        <w:r w:rsidDel="00000000" w:rsidR="00000000" w:rsidRPr="00000000">
          <w:rPr>
            <w:rFonts w:ascii="Google Sans" w:cs="Google Sans" w:eastAsia="Google Sans" w:hAnsi="Google Sans"/>
            <w:color w:val="0000ee"/>
            <w:sz w:val="24"/>
            <w:szCs w:val="24"/>
            <w:u w:val="single"/>
            <w:rtl w:val="0"/>
          </w:rPr>
          <w:t xml:space="preserve">http://fernando-teg-obrasciviles.blogspot.com/p/nsr-10.html</w:t>
        </w:r>
      </w:hyperlink>
      <w:r w:rsidDel="00000000" w:rsidR="00000000" w:rsidRPr="00000000">
        <w:rPr>
          <w:rtl w:val="0"/>
        </w:rPr>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Reglamento colombiano de construcción sismo resistente - ANDI, </w:t>
      </w:r>
      <w:hyperlink r:id="rId67">
        <w:r w:rsidDel="00000000" w:rsidR="00000000" w:rsidRPr="00000000">
          <w:rPr>
            <w:rFonts w:ascii="Google Sans" w:cs="Google Sans" w:eastAsia="Google Sans" w:hAnsi="Google Sans"/>
            <w:color w:val="0000ee"/>
            <w:sz w:val="24"/>
            <w:szCs w:val="24"/>
            <w:u w:val="single"/>
            <w:rtl w:val="0"/>
          </w:rPr>
          <w:t xml:space="preserve">https://www.andi.com.co/uploads/reglamento_colombiano_construccion_sismo_resistente_636536179523160220.pdf</w:t>
        </w:r>
      </w:hyperlink>
      <w:r w:rsidDel="00000000" w:rsidR="00000000" w:rsidRPr="00000000">
        <w:rPr>
          <w:rtl w:val="0"/>
        </w:rPr>
      </w:r>
    </w:p>
    <w:p w:rsidR="00000000" w:rsidDel="00000000" w:rsidP="00000000" w:rsidRDefault="00000000" w:rsidRPr="00000000" w14:paraId="0000009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Método de ensayo NTC 3692 para concreto | PDF | Colombia - Scribd, </w:t>
      </w:r>
      <w:hyperlink r:id="rId68">
        <w:r w:rsidDel="00000000" w:rsidR="00000000" w:rsidRPr="00000000">
          <w:rPr>
            <w:rFonts w:ascii="Google Sans" w:cs="Google Sans" w:eastAsia="Google Sans" w:hAnsi="Google Sans"/>
            <w:color w:val="0000ee"/>
            <w:sz w:val="24"/>
            <w:szCs w:val="24"/>
            <w:u w:val="single"/>
            <w:rtl w:val="0"/>
          </w:rPr>
          <w:t xml:space="preserve">https://es.scribd.com/document/239087982/NTC3692-Esclerometro</w:t>
        </w:r>
      </w:hyperlink>
      <w:r w:rsidDel="00000000" w:rsidR="00000000" w:rsidRPr="00000000">
        <w:rPr>
          <w:rtl w:val="0"/>
        </w:rPr>
      </w:r>
    </w:p>
    <w:p w:rsidR="00000000" w:rsidDel="00000000" w:rsidP="00000000" w:rsidRDefault="00000000" w:rsidRPr="00000000" w14:paraId="0000009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Concrete Rebound Hammer - WorldofTest.com, </w:t>
      </w:r>
      <w:hyperlink r:id="rId69">
        <w:r w:rsidDel="00000000" w:rsidR="00000000" w:rsidRPr="00000000">
          <w:rPr>
            <w:rFonts w:ascii="Google Sans" w:cs="Google Sans" w:eastAsia="Google Sans" w:hAnsi="Google Sans"/>
            <w:color w:val="0000ee"/>
            <w:sz w:val="24"/>
            <w:szCs w:val="24"/>
            <w:u w:val="single"/>
            <w:rtl w:val="0"/>
          </w:rPr>
          <w:t xml:space="preserve">https://www.worldoftest.com/product/concrete-rebound-hammer/</w:t>
        </w:r>
      </w:hyperlink>
      <w:r w:rsidDel="00000000" w:rsidR="00000000" w:rsidRPr="00000000">
        <w:rPr>
          <w:rtl w:val="0"/>
        </w:rPr>
      </w:r>
    </w:p>
    <w:p w:rsidR="00000000" w:rsidDel="00000000" w:rsidP="00000000" w:rsidRDefault="00000000" w:rsidRPr="00000000" w14:paraId="0000009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ISO-1920-7-2004 Testing of Concrete - Non-Destructive ... - Scribd, </w:t>
      </w:r>
      <w:hyperlink r:id="rId70">
        <w:r w:rsidDel="00000000" w:rsidR="00000000" w:rsidRPr="00000000">
          <w:rPr>
            <w:rFonts w:ascii="Google Sans" w:cs="Google Sans" w:eastAsia="Google Sans" w:hAnsi="Google Sans"/>
            <w:color w:val="0000ee"/>
            <w:sz w:val="24"/>
            <w:szCs w:val="24"/>
            <w:u w:val="single"/>
            <w:rtl w:val="0"/>
          </w:rPr>
          <w:t xml:space="preserve">https://www.scribd.com/document/677772751/ISO-1920-7-2004-Testing-of-concrete-Non-destructive-tests-on-hardened-concrete</w:t>
        </w:r>
      </w:hyperlink>
      <w:r w:rsidDel="00000000" w:rsidR="00000000" w:rsidRPr="00000000">
        <w:rPr>
          <w:rtl w:val="0"/>
        </w:rPr>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ind w:left="600" w:hanging="360"/>
      </w:pPr>
      <w:hyperlink r:id="rId71">
        <w:r w:rsidDel="00000000" w:rsidR="00000000" w:rsidRPr="00000000">
          <w:rPr>
            <w:rFonts w:ascii="Google Sans" w:cs="Google Sans" w:eastAsia="Google Sans" w:hAnsi="Google Sans"/>
            <w:color w:val="0000ee"/>
            <w:sz w:val="24"/>
            <w:szCs w:val="24"/>
            <w:u w:val="single"/>
            <w:rtl w:val="0"/>
          </w:rPr>
          <w:t xml:space="preserve">https://www.enac.es/documents/7020/e94ae82c-a62d-41e1-9db4-7046b9945420?version=1.0</w:t>
        </w:r>
      </w:hyperlink>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Certificados de calibración - INA Virtual, </w:t>
      </w:r>
      <w:hyperlink r:id="rId72">
        <w:r w:rsidDel="00000000" w:rsidR="00000000" w:rsidRPr="00000000">
          <w:rPr>
            <w:rFonts w:ascii="Google Sans" w:cs="Google Sans" w:eastAsia="Google Sans" w:hAnsi="Google Sans"/>
            <w:color w:val="0000ee"/>
            <w:sz w:val="24"/>
            <w:szCs w:val="24"/>
            <w:u w:val="single"/>
            <w:rtl w:val="0"/>
          </w:rPr>
          <w:t xml:space="preserve">https://www.inavirtual.ed.cr/pluginfile.php/3071788/mod_resource/content/1/certificados_de_calibracin.html</w:t>
        </w:r>
      </w:hyperlink>
      <w:r w:rsidDel="00000000" w:rsidR="00000000" w:rsidRPr="00000000">
        <w:rPr>
          <w:rtl w:val="0"/>
        </w:rPr>
      </w:r>
    </w:p>
    <w:p w:rsidR="00000000" w:rsidDel="00000000" w:rsidP="00000000" w:rsidRDefault="00000000" w:rsidRPr="00000000" w14:paraId="0000009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propuesta de una ruta metodológica para la acreditación de, </w:t>
      </w:r>
      <w:hyperlink r:id="rId73">
        <w:r w:rsidDel="00000000" w:rsidR="00000000" w:rsidRPr="00000000">
          <w:rPr>
            <w:rFonts w:ascii="Google Sans" w:cs="Google Sans" w:eastAsia="Google Sans" w:hAnsi="Google Sans"/>
            <w:color w:val="0000ee"/>
            <w:sz w:val="24"/>
            <w:szCs w:val="24"/>
            <w:u w:val="single"/>
            <w:rtl w:val="0"/>
          </w:rPr>
          <w:t xml:space="preserve">https://repository.uamerica.edu.co/bitstreams/7ebd33c1-d1dd-4dbf-98bb-39ff089a5004/download</w:t>
        </w:r>
      </w:hyperlink>
      <w:r w:rsidDel="00000000" w:rsidR="00000000" w:rsidRPr="00000000">
        <w:rPr>
          <w:rtl w:val="0"/>
        </w:rPr>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Non-Destructive Evaluation of Compressive Strength in Solid, </w:t>
      </w:r>
      <w:hyperlink r:id="rId74">
        <w:r w:rsidDel="00000000" w:rsidR="00000000" w:rsidRPr="00000000">
          <w:rPr>
            <w:rFonts w:ascii="Google Sans" w:cs="Google Sans" w:eastAsia="Google Sans" w:hAnsi="Google Sans"/>
            <w:color w:val="0000ee"/>
            <w:sz w:val="24"/>
            <w:szCs w:val="24"/>
            <w:u w:val="single"/>
            <w:rtl w:val="0"/>
          </w:rPr>
          <w:t xml:space="preserve">https://www.researchgate.net/publication/399007803_Non-Destructive_Evaluation_of_compressive_strength_in_solid_clay_bricks_using_the_Rebound_Hammer_Test</w:t>
        </w:r>
      </w:hyperlink>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Non-Destructive Testing of Concrete | PDF - Scribd, </w:t>
      </w:r>
      <w:hyperlink r:id="rId75">
        <w:r w:rsidDel="00000000" w:rsidR="00000000" w:rsidRPr="00000000">
          <w:rPr>
            <w:rFonts w:ascii="Google Sans" w:cs="Google Sans" w:eastAsia="Google Sans" w:hAnsi="Google Sans"/>
            <w:color w:val="0000ee"/>
            <w:sz w:val="24"/>
            <w:szCs w:val="24"/>
            <w:u w:val="single"/>
            <w:rtl w:val="0"/>
          </w:rPr>
          <w:t xml:space="preserve">https://www.scribd.com/document/869136670/ISO-1920-7</w:t>
        </w:r>
      </w:hyperlink>
      <w:r w:rsidDel="00000000" w:rsidR="00000000" w:rsidRPr="00000000">
        <w:rPr>
          <w:rtl w:val="0"/>
        </w:rPr>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ZD912 Digital Test Hammer, </w:t>
      </w:r>
      <w:hyperlink r:id="rId76">
        <w:r w:rsidDel="00000000" w:rsidR="00000000" w:rsidRPr="00000000">
          <w:rPr>
            <w:rFonts w:ascii="Google Sans" w:cs="Google Sans" w:eastAsia="Google Sans" w:hAnsi="Google Sans"/>
            <w:color w:val="0000ee"/>
            <w:sz w:val="24"/>
            <w:szCs w:val="24"/>
            <w:u w:val="single"/>
            <w:rtl w:val="0"/>
          </w:rPr>
          <w:t xml:space="preserve">http://www.zdydkc.com/enarc/514.html</w:t>
        </w:r>
      </w:hyperlink>
      <w:r w:rsidDel="00000000" w:rsidR="00000000" w:rsidRPr="00000000">
        <w:rPr>
          <w:rtl w:val="0"/>
        </w:rPr>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Titulo C NSR- - Academia.edu, </w:t>
      </w:r>
      <w:hyperlink r:id="rId77">
        <w:r w:rsidDel="00000000" w:rsidR="00000000" w:rsidRPr="00000000">
          <w:rPr>
            <w:rFonts w:ascii="Google Sans" w:cs="Google Sans" w:eastAsia="Google Sans" w:hAnsi="Google Sans"/>
            <w:color w:val="0000ee"/>
            <w:sz w:val="24"/>
            <w:szCs w:val="24"/>
            <w:u w:val="single"/>
            <w:rtl w:val="0"/>
          </w:rPr>
          <w:t xml:space="preserve">https://www.academia.edu/34195104/Titulo_C_NSR_</w:t>
        </w:r>
      </w:hyperlink>
      <w:r w:rsidDel="00000000" w:rsidR="00000000" w:rsidRPr="00000000">
        <w:rPr>
          <w:rtl w:val="0"/>
        </w:rPr>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INGEOCONSULTORES, </w:t>
      </w:r>
      <w:hyperlink r:id="rId78">
        <w:r w:rsidDel="00000000" w:rsidR="00000000" w:rsidRPr="00000000">
          <w:rPr>
            <w:rFonts w:ascii="Google Sans" w:cs="Google Sans" w:eastAsia="Google Sans" w:hAnsi="Google Sans"/>
            <w:color w:val="0000ee"/>
            <w:sz w:val="24"/>
            <w:szCs w:val="24"/>
            <w:u w:val="single"/>
            <w:rtl w:val="0"/>
          </w:rPr>
          <w:t xml:space="preserve">https://ingeoconsultores.com/empresa/index/articulo.php?id=32</w:t>
        </w:r>
      </w:hyperlink>
      <w:r w:rsidDel="00000000" w:rsidR="00000000" w:rsidRPr="00000000">
        <w:rPr>
          <w:rtl w:val="0"/>
        </w:rPr>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Aci 228-181105102023 - pdfcoffee.com, </w:t>
      </w:r>
      <w:hyperlink r:id="rId79">
        <w:r w:rsidDel="00000000" w:rsidR="00000000" w:rsidRPr="00000000">
          <w:rPr>
            <w:rFonts w:ascii="Google Sans" w:cs="Google Sans" w:eastAsia="Google Sans" w:hAnsi="Google Sans"/>
            <w:color w:val="0000ee"/>
            <w:sz w:val="24"/>
            <w:szCs w:val="24"/>
            <w:u w:val="single"/>
            <w:rtl w:val="0"/>
          </w:rPr>
          <w:t xml:space="preserve">https://pdfcoffee.com/aci-228-181105102023-pdf-free.html</w:t>
        </w:r>
      </w:hyperlink>
      <w:r w:rsidDel="00000000" w:rsidR="00000000" w:rsidRPr="00000000">
        <w:rPr>
          <w:rtl w:val="0"/>
        </w:rPr>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Inspección de Concreto: Esclerometría y Evaluación No Destructiva, </w:t>
      </w:r>
      <w:hyperlink r:id="rId80">
        <w:r w:rsidDel="00000000" w:rsidR="00000000" w:rsidRPr="00000000">
          <w:rPr>
            <w:rFonts w:ascii="Google Sans" w:cs="Google Sans" w:eastAsia="Google Sans" w:hAnsi="Google Sans"/>
            <w:color w:val="0000ee"/>
            <w:sz w:val="24"/>
            <w:szCs w:val="24"/>
            <w:u w:val="single"/>
            <w:rtl w:val="0"/>
          </w:rPr>
          <w:t xml:space="preserve">https://www.cartomex.com/inspecciones-concreto-hormigon.html</w:t>
        </w:r>
      </w:hyperlink>
      <w:r w:rsidDel="00000000" w:rsidR="00000000" w:rsidRPr="00000000">
        <w:rPr>
          <w:rtl w:val="0"/>
        </w:rPr>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Titulo C Nsr 10 | Camilo Mora - uDocz, </w:t>
      </w:r>
      <w:hyperlink r:id="rId81">
        <w:r w:rsidDel="00000000" w:rsidR="00000000" w:rsidRPr="00000000">
          <w:rPr>
            <w:rFonts w:ascii="Google Sans" w:cs="Google Sans" w:eastAsia="Google Sans" w:hAnsi="Google Sans"/>
            <w:color w:val="0000ee"/>
            <w:sz w:val="24"/>
            <w:szCs w:val="24"/>
            <w:u w:val="single"/>
            <w:rtl w:val="0"/>
          </w:rPr>
          <w:t xml:space="preserve">https://www.udocz.com/apuntes/16466/titulo-c-nsr-10</w:t>
        </w:r>
      </w:hyperlink>
      <w:r w:rsidDel="00000000" w:rsidR="00000000" w:rsidRPr="00000000">
        <w:rPr>
          <w:rtl w:val="0"/>
        </w:rPr>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Non-Destructive Testing (NDT) - TarmacView, </w:t>
      </w:r>
      <w:hyperlink r:id="rId82">
        <w:r w:rsidDel="00000000" w:rsidR="00000000" w:rsidRPr="00000000">
          <w:rPr>
            <w:rFonts w:ascii="Google Sans" w:cs="Google Sans" w:eastAsia="Google Sans" w:hAnsi="Google Sans"/>
            <w:color w:val="0000ee"/>
            <w:sz w:val="24"/>
            <w:szCs w:val="24"/>
            <w:u w:val="single"/>
            <w:rtl w:val="0"/>
          </w:rPr>
          <w:t xml:space="preserve">https://www.tarmacview.com/glossary/non-destructive-testing/</w:t>
        </w:r>
      </w:hyperlink>
      <w:r w:rsidDel="00000000" w:rsidR="00000000" w:rsidRPr="00000000">
        <w:rPr>
          <w:rtl w:val="0"/>
        </w:rPr>
      </w:r>
    </w:p>
    <w:p w:rsidR="00000000" w:rsidDel="00000000" w:rsidP="00000000" w:rsidRDefault="00000000" w:rsidRPr="00000000" w14:paraId="000000A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 NTC 4325: Ultrasonido en Concreto - Scribd, </w:t>
      </w:r>
      <w:hyperlink r:id="rId83">
        <w:r w:rsidDel="00000000" w:rsidR="00000000" w:rsidRPr="00000000">
          <w:rPr>
            <w:rFonts w:ascii="Google Sans" w:cs="Google Sans" w:eastAsia="Google Sans" w:hAnsi="Google Sans"/>
            <w:color w:val="0000ee"/>
            <w:sz w:val="24"/>
            <w:szCs w:val="24"/>
            <w:u w:val="single"/>
            <w:rtl w:val="0"/>
          </w:rPr>
          <w:t xml:space="preserve">https://es.scribd.com/document/453818001/NTC-4325-ULTRASONIDO</w:t>
        </w:r>
      </w:hyperlink>
      <w:r w:rsidDel="00000000" w:rsidR="00000000" w:rsidRPr="00000000">
        <w:rPr>
          <w:rtl w:val="0"/>
        </w:rPr>
      </w:r>
    </w:p>
    <w:p w:rsidR="00000000" w:rsidDel="00000000" w:rsidP="00000000" w:rsidRDefault="00000000" w:rsidRPr="00000000" w14:paraId="000000A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1920-7 - iTeh Standards, </w:t>
      </w:r>
      <w:hyperlink r:id="rId84">
        <w:r w:rsidDel="00000000" w:rsidR="00000000" w:rsidRPr="00000000">
          <w:rPr>
            <w:rFonts w:ascii="Google Sans" w:cs="Google Sans" w:eastAsia="Google Sans" w:hAnsi="Google Sans"/>
            <w:color w:val="0000ee"/>
            <w:sz w:val="24"/>
            <w:szCs w:val="24"/>
            <w:u w:val="single"/>
            <w:rtl w:val="0"/>
          </w:rPr>
          <w:t xml:space="preserve">https://cdn.standards.iteh.ai/samples/29103/5bf61ebcc3ca49f6afd06c87f5b38531/ISO-1920-7-2004.pdf</w:t>
        </w:r>
      </w:hyperlink>
      <w:r w:rsidDel="00000000" w:rsidR="00000000" w:rsidRPr="00000000">
        <w:rPr>
          <w:rtl w:val="0"/>
        </w:rPr>
      </w:r>
    </w:p>
    <w:p w:rsidR="00000000" w:rsidDel="00000000" w:rsidP="00000000" w:rsidRDefault="00000000" w:rsidRPr="00000000" w14:paraId="000000A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VERIFICATION OF DESIGN BEARING CAPACITY OF EXISTING, </w:t>
      </w:r>
      <w:hyperlink r:id="rId85">
        <w:r w:rsidDel="00000000" w:rsidR="00000000" w:rsidRPr="00000000">
          <w:rPr>
            <w:rFonts w:ascii="Google Sans" w:cs="Google Sans" w:eastAsia="Google Sans" w:hAnsi="Google Sans"/>
            <w:color w:val="0000ee"/>
            <w:sz w:val="24"/>
            <w:szCs w:val="24"/>
            <w:u w:val="single"/>
            <w:rtl w:val="0"/>
          </w:rPr>
          <w:t xml:space="preserve">https://geomatejournal.com/geomate/article/download/3540/2976</w:t>
        </w:r>
      </w:hyperlink>
      <w:r w:rsidDel="00000000" w:rsidR="00000000" w:rsidRPr="00000000">
        <w:rPr>
          <w:rtl w:val="0"/>
        </w:rPr>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Informe de Esclerometría Saravena | PDF | Hormigón | Martillo - Scribd, </w:t>
      </w:r>
      <w:hyperlink r:id="rId86">
        <w:r w:rsidDel="00000000" w:rsidR="00000000" w:rsidRPr="00000000">
          <w:rPr>
            <w:rFonts w:ascii="Google Sans" w:cs="Google Sans" w:eastAsia="Google Sans" w:hAnsi="Google Sans"/>
            <w:color w:val="0000ee"/>
            <w:sz w:val="24"/>
            <w:szCs w:val="24"/>
            <w:u w:val="single"/>
            <w:rtl w:val="0"/>
          </w:rPr>
          <w:t xml:space="preserve">https://es.scribd.com/document/724705849/INFORME-TECNICO-ESCLEROMETRIA-6-DE-OCTUBRE</w:t>
        </w:r>
      </w:hyperlink>
      <w:r w:rsidDel="00000000" w:rsidR="00000000" w:rsidRPr="00000000">
        <w:rPr>
          <w:rtl w:val="0"/>
        </w:rPr>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NTP 339.181 - Esclerometria | PDF | Hormigón | Acero - Scribd, </w:t>
      </w:r>
      <w:hyperlink r:id="rId87">
        <w:r w:rsidDel="00000000" w:rsidR="00000000" w:rsidRPr="00000000">
          <w:rPr>
            <w:rFonts w:ascii="Google Sans" w:cs="Google Sans" w:eastAsia="Google Sans" w:hAnsi="Google Sans"/>
            <w:color w:val="0000ee"/>
            <w:sz w:val="24"/>
            <w:szCs w:val="24"/>
            <w:u w:val="single"/>
            <w:rtl w:val="0"/>
          </w:rPr>
          <w:t xml:space="preserve">https://es.scribd.com/document/587154628/NTP-339-181-ESCLEROMETRIA</w:t>
        </w:r>
      </w:hyperlink>
      <w:r w:rsidDel="00000000" w:rsidR="00000000" w:rsidRPr="00000000">
        <w:rPr>
          <w:rtl w:val="0"/>
        </w:rPr>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 1920-7 - pdfcoffee.com, </w:t>
      </w:r>
      <w:hyperlink r:id="rId88">
        <w:r w:rsidDel="00000000" w:rsidR="00000000" w:rsidRPr="00000000">
          <w:rPr>
            <w:rFonts w:ascii="Google Sans" w:cs="Google Sans" w:eastAsia="Google Sans" w:hAnsi="Google Sans"/>
            <w:color w:val="0000ee"/>
            <w:sz w:val="24"/>
            <w:szCs w:val="24"/>
            <w:u w:val="single"/>
            <w:rtl w:val="0"/>
          </w:rPr>
          <w:t xml:space="preserve">https://pdfcoffee.com/download/iso-1920-7-pdf-3-pdf-free.html</w:t>
        </w:r>
      </w:hyperlink>
      <w:r w:rsidDel="00000000" w:rsidR="00000000" w:rsidRPr="00000000">
        <w:rPr>
          <w:rtl w:val="0"/>
        </w:rPr>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Correlación entre la resistencia real del concreto y el ensayo no, </w:t>
      </w:r>
      <w:hyperlink r:id="rId89">
        <w:r w:rsidDel="00000000" w:rsidR="00000000" w:rsidRPr="00000000">
          <w:rPr>
            <w:rFonts w:ascii="Google Sans" w:cs="Google Sans" w:eastAsia="Google Sans" w:hAnsi="Google Sans"/>
            <w:color w:val="0000ee"/>
            <w:sz w:val="24"/>
            <w:szCs w:val="24"/>
            <w:u w:val="single"/>
            <w:rtl w:val="0"/>
          </w:rPr>
          <w:t xml:space="preserve">https://tecnohumanismo.online/index.php/tecnohumanismo/article/view/59</w:t>
        </w:r>
      </w:hyperlink>
      <w:r w:rsidDel="00000000" w:rsidR="00000000" w:rsidRPr="00000000">
        <w:rPr>
          <w:rtl w:val="0"/>
        </w:rPr>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w:t>
      </w:r>
      <w:hyperlink r:id="rId90">
        <w:r w:rsidDel="00000000" w:rsidR="00000000" w:rsidRPr="00000000">
          <w:rPr>
            <w:rFonts w:ascii="Google Sans" w:cs="Google Sans" w:eastAsia="Google Sans" w:hAnsi="Google Sans"/>
            <w:color w:val="0000ee"/>
            <w:sz w:val="24"/>
            <w:szCs w:val="24"/>
            <w:u w:val="single"/>
            <w:rtl w:val="0"/>
          </w:rPr>
          <w:t xml:space="preserve">https://ithatech.co.ke/Assets/img/EditorImages/files/BUILDING.pdf</w:t>
        </w:r>
      </w:hyperlink>
      <w:r w:rsidDel="00000000" w:rsidR="00000000" w:rsidRPr="00000000">
        <w:rPr>
          <w:rtl w:val="0"/>
        </w:rPr>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Estimación de la Resistencia del Concreto con el Método SonReb, </w:t>
      </w:r>
      <w:hyperlink r:id="rId91">
        <w:r w:rsidDel="00000000" w:rsidR="00000000" w:rsidRPr="00000000">
          <w:rPr>
            <w:rFonts w:ascii="Google Sans" w:cs="Google Sans" w:eastAsia="Google Sans" w:hAnsi="Google Sans"/>
            <w:color w:val="0000ee"/>
            <w:sz w:val="24"/>
            <w:szCs w:val="24"/>
            <w:u w:val="single"/>
            <w:rtl w:val="0"/>
          </w:rPr>
          <w:t xml:space="preserve">https://repository.usta.edu.co/bitstreams/c76e1101-cd5a-4079-adb1-ea54c801c6dc/download</w:t>
        </w:r>
      </w:hyperlink>
      <w:r w:rsidDel="00000000" w:rsidR="00000000" w:rsidRPr="00000000">
        <w:rPr>
          <w:rtl w:val="0"/>
        </w:rPr>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Estimación de la resistencia del concreto con el método SonReb en, </w:t>
      </w:r>
      <w:hyperlink r:id="rId92">
        <w:r w:rsidDel="00000000" w:rsidR="00000000" w:rsidRPr="00000000">
          <w:rPr>
            <w:rFonts w:ascii="Google Sans" w:cs="Google Sans" w:eastAsia="Google Sans" w:hAnsi="Google Sans"/>
            <w:color w:val="0000ee"/>
            <w:sz w:val="24"/>
            <w:szCs w:val="24"/>
            <w:u w:val="single"/>
            <w:rtl w:val="0"/>
          </w:rPr>
          <w:t xml:space="preserve">https://repository.usta.edu.co/items/ebefa641-869e-4616-ba8c-5494d9fba53a</w:t>
        </w:r>
      </w:hyperlink>
      <w:r w:rsidDel="00000000" w:rsidR="00000000" w:rsidRPr="00000000">
        <w:rPr>
          <w:rtl w:val="0"/>
        </w:rPr>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Patologia-18874-DPD 1329-21 OV 58082 JIMENEZ PRIETO, </w:t>
      </w:r>
      <w:hyperlink r:id="rId93">
        <w:r w:rsidDel="00000000" w:rsidR="00000000" w:rsidRPr="00000000">
          <w:rPr>
            <w:rFonts w:ascii="Google Sans" w:cs="Google Sans" w:eastAsia="Google Sans" w:hAnsi="Google Sans"/>
            <w:color w:val="0000ee"/>
            <w:sz w:val="24"/>
            <w:szCs w:val="24"/>
            <w:u w:val="single"/>
            <w:rtl w:val="0"/>
          </w:rPr>
          <w:t xml:space="preserve">https://repository.usta.edu.co/bitstreams/cf668648-1b78-42c7-9afa-e8c3b093bc71/download</w:t>
        </w:r>
      </w:hyperlink>
      <w:r w:rsidDel="00000000" w:rsidR="00000000" w:rsidRPr="00000000">
        <w:rPr>
          <w:rtl w:val="0"/>
        </w:rPr>
      </w:r>
    </w:p>
    <w:p w:rsidR="00000000" w:rsidDel="00000000" w:rsidP="00000000" w:rsidRDefault="00000000" w:rsidRPr="00000000" w14:paraId="000000B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Comparación de los resultados de ensayos destructivos y no, </w:t>
      </w:r>
      <w:hyperlink r:id="rId94">
        <w:r w:rsidDel="00000000" w:rsidR="00000000" w:rsidRPr="00000000">
          <w:rPr>
            <w:rFonts w:ascii="Google Sans" w:cs="Google Sans" w:eastAsia="Google Sans" w:hAnsi="Google Sans"/>
            <w:color w:val="0000ee"/>
            <w:sz w:val="24"/>
            <w:szCs w:val="24"/>
            <w:u w:val="single"/>
            <w:rtl w:val="0"/>
          </w:rPr>
          <w:t xml:space="preserve">https://bibliotecadigital.oducal.com/Record/ir-10983-30597/Details?sid=182497</w:t>
        </w:r>
      </w:hyperlink>
      <w:r w:rsidDel="00000000" w:rsidR="00000000" w:rsidRPr="00000000">
        <w:rPr>
          <w:rtl w:val="0"/>
        </w:rPr>
      </w:r>
    </w:p>
    <w:p w:rsidR="00000000" w:rsidDel="00000000" w:rsidP="00000000" w:rsidRDefault="00000000" w:rsidRPr="00000000" w14:paraId="000000B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Rebound hammer test on Concrete structures - vin civilworld, </w:t>
      </w:r>
      <w:hyperlink r:id="rId95">
        <w:r w:rsidDel="00000000" w:rsidR="00000000" w:rsidRPr="00000000">
          <w:rPr>
            <w:rFonts w:ascii="Google Sans" w:cs="Google Sans" w:eastAsia="Google Sans" w:hAnsi="Google Sans"/>
            <w:color w:val="0000ee"/>
            <w:sz w:val="24"/>
            <w:szCs w:val="24"/>
            <w:u w:val="single"/>
            <w:rtl w:val="0"/>
          </w:rPr>
          <w:t xml:space="preserve">https://vincivilworld.com/2025/12/07/rebound-hammer-test-on-concrete/</w:t>
        </w:r>
      </w:hyperlink>
      <w:r w:rsidDel="00000000" w:rsidR="00000000" w:rsidRPr="00000000">
        <w:rPr>
          <w:rtl w:val="0"/>
        </w:rPr>
      </w:r>
    </w:p>
    <w:p w:rsidR="00000000" w:rsidDel="00000000" w:rsidP="00000000" w:rsidRDefault="00000000" w:rsidRPr="00000000" w14:paraId="000000B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Non-Destructive Testing of Concrete | PDF - Scribd, </w:t>
      </w:r>
      <w:hyperlink r:id="rId96">
        <w:r w:rsidDel="00000000" w:rsidR="00000000" w:rsidRPr="00000000">
          <w:rPr>
            <w:rFonts w:ascii="Google Sans" w:cs="Google Sans" w:eastAsia="Google Sans" w:hAnsi="Google Sans"/>
            <w:color w:val="0000ee"/>
            <w:sz w:val="24"/>
            <w:szCs w:val="24"/>
            <w:u w:val="single"/>
            <w:rtl w:val="0"/>
          </w:rPr>
          <w:t xml:space="preserve">https://www.scribd.com/document/936673293/ES-ISO-1920-7-2014</w:t>
        </w:r>
      </w:hyperlink>
      <w:r w:rsidDel="00000000" w:rsidR="00000000" w:rsidRPr="00000000">
        <w:rPr>
          <w:rtl w:val="0"/>
        </w:rPr>
      </w:r>
    </w:p>
    <w:p w:rsidR="00000000" w:rsidDel="00000000" w:rsidP="00000000" w:rsidRDefault="00000000" w:rsidRPr="00000000" w14:paraId="000000B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Presentación dia de gestión | PDF | Evaluación | Gestión de riesgos, </w:t>
      </w:r>
      <w:hyperlink r:id="rId97">
        <w:r w:rsidDel="00000000" w:rsidR="00000000" w:rsidRPr="00000000">
          <w:rPr>
            <w:rFonts w:ascii="Google Sans" w:cs="Google Sans" w:eastAsia="Google Sans" w:hAnsi="Google Sans"/>
            <w:color w:val="0000ee"/>
            <w:sz w:val="24"/>
            <w:szCs w:val="24"/>
            <w:u w:val="single"/>
            <w:rtl w:val="0"/>
          </w:rPr>
          <w:t xml:space="preserve">https://es.scribd.com/document/1053066445/Presentacion-dia-de-gestion</w:t>
        </w:r>
      </w:hyperlink>
      <w:r w:rsidDel="00000000" w:rsidR="00000000" w:rsidRPr="00000000">
        <w:rPr>
          <w:rtl w:val="0"/>
        </w:rPr>
      </w:r>
    </w:p>
    <w:p w:rsidR="00000000" w:rsidDel="00000000" w:rsidP="00000000" w:rsidRDefault="00000000" w:rsidRPr="00000000" w14:paraId="000000B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Normas Técnicas Colombianas Vigentes | PDF - Scribd, </w:t>
      </w:r>
      <w:hyperlink r:id="rId98">
        <w:r w:rsidDel="00000000" w:rsidR="00000000" w:rsidRPr="00000000">
          <w:rPr>
            <w:rFonts w:ascii="Google Sans" w:cs="Google Sans" w:eastAsia="Google Sans" w:hAnsi="Google Sans"/>
            <w:color w:val="0000ee"/>
            <w:sz w:val="24"/>
            <w:szCs w:val="24"/>
            <w:u w:val="single"/>
            <w:rtl w:val="0"/>
          </w:rPr>
          <w:t xml:space="preserve">https://es.scribd.com/document/642844563/Listado-de-Normas-xlsx</w:t>
        </w:r>
      </w:hyperlink>
      <w:r w:rsidDel="00000000" w:rsidR="00000000" w:rsidRPr="00000000">
        <w:rPr>
          <w:rtl w:val="0"/>
        </w:rPr>
      </w:r>
    </w:p>
    <w:p w:rsidR="00000000" w:rsidDel="00000000" w:rsidP="00000000" w:rsidRDefault="00000000" w:rsidRPr="00000000" w14:paraId="000000B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Presentacion NB Iso Iec 17025 Parte 1a - Scribd, </w:t>
      </w:r>
      <w:hyperlink r:id="rId99">
        <w:r w:rsidDel="00000000" w:rsidR="00000000" w:rsidRPr="00000000">
          <w:rPr>
            <w:rFonts w:ascii="Google Sans" w:cs="Google Sans" w:eastAsia="Google Sans" w:hAnsi="Google Sans"/>
            <w:color w:val="0000ee"/>
            <w:sz w:val="24"/>
            <w:szCs w:val="24"/>
            <w:u w:val="single"/>
            <w:rtl w:val="0"/>
          </w:rPr>
          <w:t xml:space="preserve">https://es.scribd.com/document/1065532499/Presentacion-Nb-Iso-Iec-17025-Parte-1a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6.png"/><Relationship Id="rId42" Type="http://schemas.openxmlformats.org/officeDocument/2006/relationships/image" Target="media/image18.png"/><Relationship Id="rId41" Type="http://schemas.openxmlformats.org/officeDocument/2006/relationships/image" Target="media/image10.png"/><Relationship Id="rId44" Type="http://schemas.openxmlformats.org/officeDocument/2006/relationships/image" Target="media/image5.png"/><Relationship Id="rId43" Type="http://schemas.openxmlformats.org/officeDocument/2006/relationships/image" Target="media/image2.png"/><Relationship Id="rId46" Type="http://schemas.openxmlformats.org/officeDocument/2006/relationships/image" Target="media/image8.png"/><Relationship Id="rId45" Type="http://schemas.openxmlformats.org/officeDocument/2006/relationships/image" Target="media/image13.png"/><Relationship Id="rId48" Type="http://schemas.openxmlformats.org/officeDocument/2006/relationships/image" Target="media/image19.png"/><Relationship Id="rId47" Type="http://schemas.openxmlformats.org/officeDocument/2006/relationships/image" Target="media/image4.png"/><Relationship Id="rId49" Type="http://schemas.openxmlformats.org/officeDocument/2006/relationships/image" Target="media/image6.png"/><Relationship Id="rId31" Type="http://schemas.openxmlformats.org/officeDocument/2006/relationships/image" Target="media/image30.png"/><Relationship Id="rId30" Type="http://schemas.openxmlformats.org/officeDocument/2006/relationships/image" Target="media/image38.png"/><Relationship Id="rId33" Type="http://schemas.openxmlformats.org/officeDocument/2006/relationships/image" Target="media/image7.png"/><Relationship Id="rId32" Type="http://schemas.openxmlformats.org/officeDocument/2006/relationships/image" Target="media/image31.png"/><Relationship Id="rId35" Type="http://schemas.openxmlformats.org/officeDocument/2006/relationships/image" Target="media/image14.png"/><Relationship Id="rId34" Type="http://schemas.openxmlformats.org/officeDocument/2006/relationships/image" Target="media/image15.png"/><Relationship Id="rId37" Type="http://schemas.openxmlformats.org/officeDocument/2006/relationships/image" Target="media/image3.png"/><Relationship Id="rId36" Type="http://schemas.openxmlformats.org/officeDocument/2006/relationships/image" Target="media/image9.png"/><Relationship Id="rId39" Type="http://schemas.openxmlformats.org/officeDocument/2006/relationships/image" Target="media/image29.png"/><Relationship Id="rId38" Type="http://schemas.openxmlformats.org/officeDocument/2006/relationships/image" Target="media/image11.png"/><Relationship Id="rId20" Type="http://schemas.openxmlformats.org/officeDocument/2006/relationships/image" Target="media/image51.png"/><Relationship Id="rId22" Type="http://schemas.openxmlformats.org/officeDocument/2006/relationships/image" Target="media/image49.png"/><Relationship Id="rId21" Type="http://schemas.openxmlformats.org/officeDocument/2006/relationships/image" Target="media/image54.png"/><Relationship Id="rId24" Type="http://schemas.openxmlformats.org/officeDocument/2006/relationships/image" Target="media/image20.png"/><Relationship Id="rId23" Type="http://schemas.openxmlformats.org/officeDocument/2006/relationships/image" Target="media/image42.png"/><Relationship Id="rId26" Type="http://schemas.openxmlformats.org/officeDocument/2006/relationships/image" Target="media/image48.png"/><Relationship Id="rId25" Type="http://schemas.openxmlformats.org/officeDocument/2006/relationships/image" Target="media/image53.png"/><Relationship Id="rId28" Type="http://schemas.openxmlformats.org/officeDocument/2006/relationships/image" Target="media/image17.png"/><Relationship Id="rId27" Type="http://schemas.openxmlformats.org/officeDocument/2006/relationships/image" Target="media/image27.png"/><Relationship Id="rId29" Type="http://schemas.openxmlformats.org/officeDocument/2006/relationships/image" Target="media/image21.png"/><Relationship Id="rId95" Type="http://schemas.openxmlformats.org/officeDocument/2006/relationships/hyperlink" Target="https://vincivilworld.com/2025/12/07/rebound-hammer-test-on-concrete/" TargetMode="External"/><Relationship Id="rId94" Type="http://schemas.openxmlformats.org/officeDocument/2006/relationships/hyperlink" Target="https://bibliotecadigital.oducal.com/Record/ir-10983-30597/Details?sid=182497" TargetMode="External"/><Relationship Id="rId97" Type="http://schemas.openxmlformats.org/officeDocument/2006/relationships/hyperlink" Target="https://es.scribd.com/document/1053066445/Presentacion-dia-de-gestion" TargetMode="External"/><Relationship Id="rId96" Type="http://schemas.openxmlformats.org/officeDocument/2006/relationships/hyperlink" Target="https://www.scribd.com/document/936673293/ES-ISO-1920-7-2014" TargetMode="External"/><Relationship Id="rId11" Type="http://schemas.openxmlformats.org/officeDocument/2006/relationships/image" Target="media/image1.png"/><Relationship Id="rId99" Type="http://schemas.openxmlformats.org/officeDocument/2006/relationships/hyperlink" Target="https://es.scribd.com/document/1065532499/Presentacion-Nb-Iso-Iec-17025-Parte-1a" TargetMode="External"/><Relationship Id="rId10" Type="http://schemas.openxmlformats.org/officeDocument/2006/relationships/image" Target="media/image23.png"/><Relationship Id="rId98" Type="http://schemas.openxmlformats.org/officeDocument/2006/relationships/hyperlink" Target="https://es.scribd.com/document/642844563/Listado-de-Normas-xlsx" TargetMode="External"/><Relationship Id="rId13" Type="http://schemas.openxmlformats.org/officeDocument/2006/relationships/image" Target="media/image37.png"/><Relationship Id="rId12" Type="http://schemas.openxmlformats.org/officeDocument/2006/relationships/image" Target="media/image26.png"/><Relationship Id="rId91" Type="http://schemas.openxmlformats.org/officeDocument/2006/relationships/hyperlink" Target="https://repository.usta.edu.co/bitstreams/c76e1101-cd5a-4079-adb1-ea54c801c6dc/download" TargetMode="External"/><Relationship Id="rId90" Type="http://schemas.openxmlformats.org/officeDocument/2006/relationships/hyperlink" Target="https://ithatech.co.ke/Assets/img/EditorImages/files/BUILDING.pdf" TargetMode="External"/><Relationship Id="rId93" Type="http://schemas.openxmlformats.org/officeDocument/2006/relationships/hyperlink" Target="https://repository.usta.edu.co/bitstreams/cf668648-1b78-42c7-9afa-e8c3b093bc71/download" TargetMode="External"/><Relationship Id="rId92" Type="http://schemas.openxmlformats.org/officeDocument/2006/relationships/hyperlink" Target="https://repository.usta.edu.co/items/ebefa641-869e-4616-ba8c-5494d9fba53a" TargetMode="External"/><Relationship Id="rId15" Type="http://schemas.openxmlformats.org/officeDocument/2006/relationships/image" Target="media/image34.png"/><Relationship Id="rId14" Type="http://schemas.openxmlformats.org/officeDocument/2006/relationships/image" Target="media/image33.png"/><Relationship Id="rId17" Type="http://schemas.openxmlformats.org/officeDocument/2006/relationships/image" Target="media/image44.png"/><Relationship Id="rId16" Type="http://schemas.openxmlformats.org/officeDocument/2006/relationships/image" Target="media/image39.png"/><Relationship Id="rId19" Type="http://schemas.openxmlformats.org/officeDocument/2006/relationships/image" Target="media/image52.png"/><Relationship Id="rId18" Type="http://schemas.openxmlformats.org/officeDocument/2006/relationships/image" Target="media/image41.png"/><Relationship Id="rId84" Type="http://schemas.openxmlformats.org/officeDocument/2006/relationships/hyperlink" Target="https://cdn.standards.iteh.ai/samples/29103/5bf61ebcc3ca49f6afd06c87f5b38531/ISO-1920-7-2004.pdf" TargetMode="External"/><Relationship Id="rId83" Type="http://schemas.openxmlformats.org/officeDocument/2006/relationships/hyperlink" Target="https://es.scribd.com/document/453818001/NTC-4325-ULTRASONIDO" TargetMode="External"/><Relationship Id="rId86" Type="http://schemas.openxmlformats.org/officeDocument/2006/relationships/hyperlink" Target="https://es.scribd.com/document/724705849/INFORME-TECNICO-ESCLEROMETRIA-6-DE-OCTUBRE" TargetMode="External"/><Relationship Id="rId85" Type="http://schemas.openxmlformats.org/officeDocument/2006/relationships/hyperlink" Target="https://geomatejournal.com/geomate/article/download/3540/2976" TargetMode="External"/><Relationship Id="rId88" Type="http://schemas.openxmlformats.org/officeDocument/2006/relationships/hyperlink" Target="https://pdfcoffee.com/download/iso-1920-7-pdf-3-pdf-free.html" TargetMode="External"/><Relationship Id="rId87" Type="http://schemas.openxmlformats.org/officeDocument/2006/relationships/hyperlink" Target="https://es.scribd.com/document/587154628/NTP-339-181-ESCLEROMETRIA" TargetMode="External"/><Relationship Id="rId89" Type="http://schemas.openxmlformats.org/officeDocument/2006/relationships/hyperlink" Target="https://tecnohumanismo.online/index.php/tecnohumanismo/article/view/59" TargetMode="External"/><Relationship Id="rId80" Type="http://schemas.openxmlformats.org/officeDocument/2006/relationships/hyperlink" Target="https://www.cartomex.com/inspecciones-concreto-hormigon.html" TargetMode="External"/><Relationship Id="rId82" Type="http://schemas.openxmlformats.org/officeDocument/2006/relationships/hyperlink" Target="https://www.tarmacview.com/glossary/non-destructive-testing/" TargetMode="External"/><Relationship Id="rId81" Type="http://schemas.openxmlformats.org/officeDocument/2006/relationships/hyperlink" Target="https://www.udocz.com/apuntes/16466/titulo-c-nsr-1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5.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22.png"/><Relationship Id="rId8" Type="http://schemas.openxmlformats.org/officeDocument/2006/relationships/image" Target="media/image24.png"/><Relationship Id="rId73" Type="http://schemas.openxmlformats.org/officeDocument/2006/relationships/hyperlink" Target="https://repository.uamerica.edu.co/bitstreams/7ebd33c1-d1dd-4dbf-98bb-39ff089a5004/download" TargetMode="External"/><Relationship Id="rId72" Type="http://schemas.openxmlformats.org/officeDocument/2006/relationships/hyperlink" Target="https://www.inavirtual.ed.cr/pluginfile.php/3071788/mod_resource/content/1/certificados_de_calibracin.html" TargetMode="External"/><Relationship Id="rId75" Type="http://schemas.openxmlformats.org/officeDocument/2006/relationships/hyperlink" Target="https://www.scribd.com/document/869136670/ISO-1920-7" TargetMode="External"/><Relationship Id="rId74" Type="http://schemas.openxmlformats.org/officeDocument/2006/relationships/hyperlink" Target="https://www.researchgate.net/publication/399007803_Non-Destructive_Evaluation_of_compressive_strength_in_solid_clay_bricks_using_the_Rebound_Hammer_Test" TargetMode="External"/><Relationship Id="rId77" Type="http://schemas.openxmlformats.org/officeDocument/2006/relationships/hyperlink" Target="https://www.academia.edu/34195104/Titulo_C_NSR_" TargetMode="External"/><Relationship Id="rId76" Type="http://schemas.openxmlformats.org/officeDocument/2006/relationships/hyperlink" Target="http://www.zdydkc.com/enarc/514.html" TargetMode="External"/><Relationship Id="rId79" Type="http://schemas.openxmlformats.org/officeDocument/2006/relationships/hyperlink" Target="https://pdfcoffee.com/aci-228-181105102023-pdf-free.html" TargetMode="External"/><Relationship Id="rId78" Type="http://schemas.openxmlformats.org/officeDocument/2006/relationships/hyperlink" Target="https://ingeoconsultores.com/empresa/index/articulo.php?id=32" TargetMode="External"/><Relationship Id="rId71" Type="http://schemas.openxmlformats.org/officeDocument/2006/relationships/hyperlink" Target="https://www.enac.es/documents/7020/e94ae82c-a62d-41e1-9db4-7046b9945420?version=1.0" TargetMode="External"/><Relationship Id="rId70" Type="http://schemas.openxmlformats.org/officeDocument/2006/relationships/hyperlink" Target="https://www.scribd.com/document/677772751/ISO-1920-7-2004-Testing-of-concrete-Non-destructive-tests-on-hardened-concrete" TargetMode="External"/><Relationship Id="rId62" Type="http://schemas.openxmlformats.org/officeDocument/2006/relationships/hyperlink" Target="https://www.researchgate.net/publication/392129068_Non-destructive_evaluation_of_solid_fired_clay_brick_strength_using_the_SonReb_method" TargetMode="External"/><Relationship Id="rId61" Type="http://schemas.openxmlformats.org/officeDocument/2006/relationships/hyperlink" Target="https://www.tarmacview.com/glossary/rebound-hammer/" TargetMode="External"/><Relationship Id="rId64" Type="http://schemas.openxmlformats.org/officeDocument/2006/relationships/hyperlink" Target="https://fprimec.com/estimate-concrete-strength-using-rebound-hammer/" TargetMode="External"/><Relationship Id="rId63" Type="http://schemas.openxmlformats.org/officeDocument/2006/relationships/hyperlink" Target="https://nkmpv.com/services/rebound-hammer-test" TargetMode="External"/><Relationship Id="rId66" Type="http://schemas.openxmlformats.org/officeDocument/2006/relationships/hyperlink" Target="http://fernando-teg-obrasciviles.blogspot.com/p/nsr-10.html" TargetMode="External"/><Relationship Id="rId65" Type="http://schemas.openxmlformats.org/officeDocument/2006/relationships/hyperlink" Target="https://www.researchgate.net/publication/338680234_Assessment_of_the_Reliability_of_Rebound_Hammer_Testing_on_the_Estimation_of_Concrete_Compressive_Strength" TargetMode="External"/><Relationship Id="rId68" Type="http://schemas.openxmlformats.org/officeDocument/2006/relationships/hyperlink" Target="https://es.scribd.com/document/239087982/NTC3692-Esclerometro" TargetMode="External"/><Relationship Id="rId67" Type="http://schemas.openxmlformats.org/officeDocument/2006/relationships/hyperlink" Target="https://www.andi.com.co/uploads/reglamento_colombiano_construccion_sismo_resistente_636536179523160220.pdf" TargetMode="External"/><Relationship Id="rId60" Type="http://schemas.openxmlformats.org/officeDocument/2006/relationships/hyperlink" Target="https://www.sioingenieria.com/portal/novedades/evaluacion-del-concreto-por-el-esclerometro" TargetMode="External"/><Relationship Id="rId69" Type="http://schemas.openxmlformats.org/officeDocument/2006/relationships/hyperlink" Target="https://www.worldoftest.com/product/concrete-rebound-hammer/" TargetMode="External"/><Relationship Id="rId51" Type="http://schemas.openxmlformats.org/officeDocument/2006/relationships/image" Target="media/image32.png"/><Relationship Id="rId50" Type="http://schemas.openxmlformats.org/officeDocument/2006/relationships/image" Target="media/image12.png"/><Relationship Id="rId53" Type="http://schemas.openxmlformats.org/officeDocument/2006/relationships/image" Target="media/image25.png"/><Relationship Id="rId52"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0.png"/><Relationship Id="rId57" Type="http://schemas.openxmlformats.org/officeDocument/2006/relationships/image" Target="media/image45.png"/><Relationship Id="rId56" Type="http://schemas.openxmlformats.org/officeDocument/2006/relationships/image" Target="media/image36.png"/><Relationship Id="rId59" Type="http://schemas.openxmlformats.org/officeDocument/2006/relationships/image" Target="media/image28.png"/><Relationship Id="rId58" Type="http://schemas.openxmlformats.org/officeDocument/2006/relationships/image" Target="media/image43.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