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51F37" w14:textId="77777777" w:rsidR="00E42FB5" w:rsidRDefault="00C40219">
      <w:pPr>
        <w:spacing w:before="2000"/>
        <w:jc w:val="center"/>
      </w:pPr>
      <w:r>
        <w:rPr>
          <w:b/>
          <w:bCs/>
          <w:color w:val="1F3864"/>
          <w:sz w:val="44"/>
          <w:szCs w:val="44"/>
        </w:rPr>
        <w:t>Exploratory Data Analysis &amp; Insight Generation</w:t>
      </w:r>
    </w:p>
    <w:p w14:paraId="22DB82C2" w14:textId="77777777" w:rsidR="00E42FB5" w:rsidRDefault="00C40219">
      <w:pPr>
        <w:spacing w:before="200" w:after="100"/>
        <w:jc w:val="center"/>
      </w:pPr>
      <w:r>
        <w:rPr>
          <w:color w:val="2F5597"/>
          <w:sz w:val="30"/>
          <w:szCs w:val="30"/>
        </w:rPr>
        <w:t>Retail Superstore Sales Dataset (2014-2017)</w:t>
      </w:r>
    </w:p>
    <w:p w14:paraId="5A341707" w14:textId="77777777" w:rsidR="00E42FB5" w:rsidRDefault="00C40219">
      <w:pPr>
        <w:spacing w:before="400"/>
        <w:jc w:val="center"/>
      </w:pPr>
      <w:r>
        <w:rPr>
          <w:i/>
          <w:iCs/>
          <w:sz w:val="24"/>
          <w:szCs w:val="24"/>
        </w:rPr>
        <w:t>Week 1 Task - EDA using Tableau</w:t>
      </w:r>
    </w:p>
    <w:p w14:paraId="1B645D7C" w14:textId="77777777" w:rsidR="00E42FB5" w:rsidRDefault="00C40219">
      <w:pPr>
        <w:spacing w:before="800"/>
        <w:jc w:val="center"/>
      </w:pPr>
      <w:r>
        <w:t xml:space="preserve">Prepared by: Mukesh </w:t>
      </w:r>
      <w:proofErr w:type="spellStart"/>
      <w:r>
        <w:t>Samarit</w:t>
      </w:r>
      <w:proofErr w:type="spellEnd"/>
    </w:p>
    <w:p w14:paraId="74630DC6" w14:textId="77777777" w:rsidR="00E42FB5" w:rsidRDefault="00C40219">
      <w:pPr>
        <w:spacing w:before="100"/>
        <w:jc w:val="center"/>
      </w:pPr>
      <w:r>
        <w:t>Date: August 2026</w:t>
      </w:r>
    </w:p>
    <w:p w14:paraId="171459D2" w14:textId="77777777" w:rsidR="00E42FB5" w:rsidRDefault="00C40219">
      <w:r>
        <w:br w:type="page"/>
      </w:r>
    </w:p>
    <w:p w14:paraId="02C68E8E" w14:textId="77777777" w:rsidR="00E42FB5" w:rsidRDefault="00C40219">
      <w:pPr>
        <w:pStyle w:val="Heading1"/>
      </w:pPr>
      <w:r>
        <w:lastRenderedPageBreak/>
        <w:t>Table of Contents</w:t>
      </w:r>
    </w:p>
    <w:p w14:paraId="16579915" w14:textId="77777777" w:rsidR="00E42FB5" w:rsidRDefault="00C40219">
      <w:pPr>
        <w:spacing w:after="160"/>
        <w:jc w:val="both"/>
      </w:pPr>
      <w:r>
        <w:t>1. Executive Summary</w:t>
      </w:r>
    </w:p>
    <w:p w14:paraId="399876A6" w14:textId="77777777" w:rsidR="00E42FB5" w:rsidRDefault="00C40219">
      <w:pPr>
        <w:spacing w:after="160"/>
        <w:jc w:val="both"/>
      </w:pPr>
      <w:r>
        <w:t>2. Dataset Selection &amp; Description</w:t>
      </w:r>
    </w:p>
    <w:p w14:paraId="290C9BBE" w14:textId="77777777" w:rsidR="00E42FB5" w:rsidRDefault="00C40219">
      <w:pPr>
        <w:spacing w:after="160"/>
        <w:jc w:val="both"/>
      </w:pPr>
      <w:r>
        <w:t>3. Data Preparation &amp; Cleaning</w:t>
      </w:r>
    </w:p>
    <w:p w14:paraId="63BF8EE7" w14:textId="77777777" w:rsidR="00E42FB5" w:rsidRDefault="00C40219">
      <w:pPr>
        <w:spacing w:after="160"/>
        <w:jc w:val="both"/>
      </w:pPr>
      <w:r>
        <w:t>4. Analytical Approach in Tableau</w:t>
      </w:r>
    </w:p>
    <w:p w14:paraId="46DA2DAD" w14:textId="77777777" w:rsidR="00E42FB5" w:rsidRDefault="00C40219">
      <w:pPr>
        <w:spacing w:after="160"/>
        <w:jc w:val="both"/>
      </w:pPr>
      <w:r>
        <w:t>5. Exploratory Analysis &amp; Visualizations</w:t>
      </w:r>
    </w:p>
    <w:p w14:paraId="3B17260E" w14:textId="77777777" w:rsidR="00E42FB5" w:rsidRDefault="00C40219">
      <w:pPr>
        <w:spacing w:after="160"/>
        <w:jc w:val="both"/>
      </w:pPr>
      <w:r>
        <w:t xml:space="preserve">     5.1 Sales &amp; Profit Trend Over Time</w:t>
      </w:r>
    </w:p>
    <w:p w14:paraId="021BC99F" w14:textId="77777777" w:rsidR="00E42FB5" w:rsidRDefault="00C40219">
      <w:pPr>
        <w:spacing w:after="160"/>
        <w:jc w:val="both"/>
      </w:pPr>
      <w:r>
        <w:t xml:space="preserve">     5.2 Category and Sub-Category Performance</w:t>
      </w:r>
    </w:p>
    <w:p w14:paraId="7F1286C4" w14:textId="77777777" w:rsidR="00E42FB5" w:rsidRDefault="00C40219">
      <w:pPr>
        <w:spacing w:after="160"/>
        <w:jc w:val="both"/>
      </w:pPr>
      <w:r>
        <w:t xml:space="preserve">     5.3 Discount vs Profita</w:t>
      </w:r>
      <w:r>
        <w:t>bility</w:t>
      </w:r>
    </w:p>
    <w:p w14:paraId="04C8FB47" w14:textId="77777777" w:rsidR="00E42FB5" w:rsidRDefault="00C40219">
      <w:pPr>
        <w:spacing w:after="160"/>
        <w:jc w:val="both"/>
      </w:pPr>
      <w:r>
        <w:t xml:space="preserve">     5.4 Regional and Geographic Performance</w:t>
      </w:r>
    </w:p>
    <w:p w14:paraId="2D5C96C1" w14:textId="77777777" w:rsidR="00E42FB5" w:rsidRDefault="00C40219">
      <w:pPr>
        <w:spacing w:after="160"/>
        <w:jc w:val="both"/>
      </w:pPr>
      <w:r>
        <w:t xml:space="preserve">     5.5 Customer Segment Analysis</w:t>
      </w:r>
    </w:p>
    <w:p w14:paraId="54103A49" w14:textId="77777777" w:rsidR="00E42FB5" w:rsidRDefault="00C40219">
      <w:pPr>
        <w:spacing w:after="160"/>
        <w:jc w:val="both"/>
      </w:pPr>
      <w:r>
        <w:t xml:space="preserve">     5.6 Shipping Mode &amp; Delivery Analysis</w:t>
      </w:r>
    </w:p>
    <w:p w14:paraId="0D98EA00" w14:textId="77777777" w:rsidR="00E42FB5" w:rsidRDefault="00C40219">
      <w:pPr>
        <w:spacing w:after="160"/>
        <w:jc w:val="both"/>
      </w:pPr>
      <w:r>
        <w:t xml:space="preserve">     5.7 Correlation Analysis</w:t>
      </w:r>
    </w:p>
    <w:p w14:paraId="3E55AF8F" w14:textId="77777777" w:rsidR="00E42FB5" w:rsidRDefault="00C40219">
      <w:pPr>
        <w:spacing w:after="160"/>
        <w:jc w:val="both"/>
      </w:pPr>
      <w:r>
        <w:t>6. Outlier &amp; Anomaly Detection</w:t>
      </w:r>
    </w:p>
    <w:p w14:paraId="783CC535" w14:textId="77777777" w:rsidR="00E42FB5" w:rsidRDefault="00C40219">
      <w:pPr>
        <w:spacing w:after="160"/>
        <w:jc w:val="both"/>
      </w:pPr>
      <w:r>
        <w:t>7. Key Business Insights</w:t>
      </w:r>
    </w:p>
    <w:p w14:paraId="4E666E4D" w14:textId="77777777" w:rsidR="00E42FB5" w:rsidRDefault="00C40219">
      <w:pPr>
        <w:spacing w:after="160"/>
        <w:jc w:val="both"/>
      </w:pPr>
      <w:r>
        <w:t>8. Recommendations</w:t>
      </w:r>
    </w:p>
    <w:p w14:paraId="4AA2571D" w14:textId="77777777" w:rsidR="00E42FB5" w:rsidRDefault="00C40219">
      <w:pPr>
        <w:spacing w:after="160"/>
        <w:jc w:val="both"/>
      </w:pPr>
      <w:r>
        <w:t xml:space="preserve">9. Areas for Further </w:t>
      </w:r>
      <w:r>
        <w:t>Investigation</w:t>
      </w:r>
    </w:p>
    <w:p w14:paraId="50F4D6E4" w14:textId="77777777" w:rsidR="00E42FB5" w:rsidRDefault="00C40219">
      <w:pPr>
        <w:spacing w:after="160"/>
        <w:jc w:val="both"/>
      </w:pPr>
      <w:r>
        <w:t>10. Conclusion</w:t>
      </w:r>
    </w:p>
    <w:p w14:paraId="5BE4BD1F" w14:textId="77777777" w:rsidR="00E42FB5" w:rsidRDefault="00C40219">
      <w:r>
        <w:br w:type="page"/>
      </w:r>
    </w:p>
    <w:p w14:paraId="7138355C" w14:textId="77777777" w:rsidR="00E42FB5" w:rsidRDefault="00C40219">
      <w:pPr>
        <w:pStyle w:val="Heading1"/>
      </w:pPr>
      <w:r>
        <w:lastRenderedPageBreak/>
        <w:t>1. Executive Summary</w:t>
      </w:r>
    </w:p>
    <w:p w14:paraId="1464083B" w14:textId="77777777" w:rsidR="00E42FB5" w:rsidRDefault="00C40219">
      <w:pPr>
        <w:spacing w:after="160"/>
        <w:jc w:val="both"/>
      </w:pPr>
      <w:r>
        <w:t>This report presents an exploratory data analysis (EDA) of the Sample Superstore dataset, a widely used retail transactions dataset that records four years of order-level sales for a US-based office and furniture retailer. The objective was to understand t</w:t>
      </w:r>
      <w:r>
        <w:t>he structure of the data, identify trends, outliers, and relationships between key variables, and translate these findings into business insights that could support decision-making on pricing, discounting, product mix, and regional strategy.</w:t>
      </w:r>
    </w:p>
    <w:p w14:paraId="5C9C7202" w14:textId="77777777" w:rsidR="00E42FB5" w:rsidRDefault="00C40219">
      <w:pPr>
        <w:spacing w:after="160"/>
        <w:jc w:val="both"/>
      </w:pPr>
      <w:r>
        <w:t>The analytical</w:t>
      </w:r>
      <w:r>
        <w:t xml:space="preserve"> workflow mirrors how this investigation would be structured inside Tableau: a series of connected worksheets (trend, category breakdown, discount analysis, geography, segment, and shipping) combined into an analytical dashboard narrative, with quick filte</w:t>
      </w:r>
      <w:r>
        <w:t>rs enabling drill-down by year, region, and segment. Underlying statistical checks (distributions, correlations, outlier thresholds) were validated in Python/pandas before being encoded visually, the same due-diligence a Tableau analyst would do in the dat</w:t>
      </w:r>
      <w:r>
        <w:t>a pane before building worksheets.</w:t>
      </w:r>
    </w:p>
    <w:p w14:paraId="78CEA7DD" w14:textId="77777777" w:rsidR="00E42FB5" w:rsidRDefault="00C40219">
      <w:pPr>
        <w:spacing w:after="160"/>
        <w:jc w:val="both"/>
      </w:pPr>
      <w:r>
        <w:t>Overall, the store generated $2.30M in sales and $286K in profit (a 12.5% margin) across 5,009 orders and 793 unique customers between 2014 and 2017. The headline finding is that profitability is being eroded by a small n</w:t>
      </w:r>
      <w:r>
        <w:t>umber of categories and a specific discounting pattern: the Tables and Bookcases sub-categories are net loss-making, and average profit per order turns negative once discounts exceed roughly 20%. These patterns, along with regional and shipping-mode differ</w:t>
      </w:r>
      <w:r>
        <w:t>ences, form the core of the recommendations in Section 8.</w:t>
      </w:r>
    </w:p>
    <w:p w14:paraId="2B0AD421" w14:textId="77777777" w:rsidR="00E42FB5" w:rsidRDefault="00C40219">
      <w:pPr>
        <w:pStyle w:val="Heading1"/>
      </w:pPr>
      <w:r>
        <w:t>2. Dataset Selection &amp; Description</w:t>
      </w:r>
    </w:p>
    <w:p w14:paraId="5978BFCB" w14:textId="77777777" w:rsidR="00E42FB5" w:rsidRDefault="00C40219">
      <w:pPr>
        <w:spacing w:after="160"/>
        <w:jc w:val="both"/>
      </w:pPr>
      <w:r>
        <w:t>Dataset chosen: Sample Superstore - a publicly available retail sales dataset (widely distributed on Kaggle and bundled as a sample dataset with Tableau itself), c</w:t>
      </w:r>
      <w:r>
        <w:t>overing order-level transactions for a US office-supply and furniture retailer.</w:t>
      </w:r>
    </w:p>
    <w:p w14:paraId="0862A55E" w14:textId="77777777" w:rsidR="00E42FB5" w:rsidRDefault="00C40219">
      <w:pPr>
        <w:spacing w:after="160"/>
        <w:jc w:val="both"/>
      </w:pPr>
      <w:r>
        <w:t>This dataset was selected because it is rich enough to explore multiple business dimensions simultaneously - time, geography, product hierarchy, customer segment, and pricing (</w:t>
      </w:r>
      <w:r>
        <w:t>discount) - while remaining small enough (</w:t>
      </w:r>
      <w:proofErr w:type="gramStart"/>
      <w:r>
        <w:t>9,994 line</w:t>
      </w:r>
      <w:proofErr w:type="gramEnd"/>
      <w:r>
        <w:t xml:space="preserve"> items) to explore interactively without performance constraints. It also sits in a domain (retail/e-commerce sales analytics) directly relevant to Business Intelligence and Data Analyst roles, which made</w:t>
      </w:r>
      <w:r>
        <w:t xml:space="preserve"> the insight-generation exercise realistic and job-relevant.</w:t>
      </w:r>
    </w:p>
    <w:p w14:paraId="4B6EB9BA" w14:textId="77777777" w:rsidR="00E42FB5" w:rsidRDefault="00C40219">
      <w:pPr>
        <w:pStyle w:val="Heading2"/>
        <w:spacing w:before="300" w:after="150"/>
      </w:pPr>
      <w:r>
        <w:t>2.1 Structure of the Dataset</w:t>
      </w:r>
    </w:p>
    <w:p w14:paraId="71D7DF59" w14:textId="77777777" w:rsidR="00E42FB5" w:rsidRDefault="00C40219">
      <w:pPr>
        <w:spacing w:after="160"/>
        <w:jc w:val="both"/>
      </w:pPr>
      <w:r>
        <w:t>The dataset contains 9,994 rows and 21 columns, with zero missing values and zero duplicate records. Each row represents one product line item within a customer order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00"/>
        <w:gridCol w:w="5200"/>
      </w:tblGrid>
      <w:tr w:rsidR="00E42FB5" w14:paraId="06278D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2F5597"/>
          </w:tcPr>
          <w:p w14:paraId="01A03DD1" w14:textId="77777777" w:rsidR="00E42FB5" w:rsidRDefault="00C40219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2F5597"/>
          </w:tcPr>
          <w:p w14:paraId="7B701E5D" w14:textId="77777777" w:rsidR="00E42FB5" w:rsidRDefault="00C4021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00" w:type="dxa"/>
            <w:shd w:val="clear" w:color="auto" w:fill="2F5597"/>
          </w:tcPr>
          <w:p w14:paraId="1749D2C5" w14:textId="77777777" w:rsidR="00E42FB5" w:rsidRDefault="00C4021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42FB5" w14:paraId="28672E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36733C4E" w14:textId="77777777" w:rsidR="00E42FB5" w:rsidRDefault="00C40219">
            <w:r>
              <w:rPr>
                <w:sz w:val="20"/>
                <w:szCs w:val="20"/>
              </w:rPr>
              <w:t>Order ID / Row ID</w:t>
            </w:r>
          </w:p>
        </w:tc>
        <w:tc>
          <w:tcPr>
            <w:tcW w:w="1600" w:type="dxa"/>
          </w:tcPr>
          <w:p w14:paraId="7DDD4BFB" w14:textId="77777777" w:rsidR="00E42FB5" w:rsidRDefault="00C40219">
            <w:r>
              <w:rPr>
                <w:sz w:val="20"/>
                <w:szCs w:val="20"/>
              </w:rPr>
              <w:t>Identifier</w:t>
            </w:r>
          </w:p>
        </w:tc>
        <w:tc>
          <w:tcPr>
            <w:tcW w:w="5200" w:type="dxa"/>
          </w:tcPr>
          <w:p w14:paraId="2DB8DF9C" w14:textId="77777777" w:rsidR="00E42FB5" w:rsidRDefault="00C40219">
            <w:r>
              <w:rPr>
                <w:sz w:val="20"/>
                <w:szCs w:val="20"/>
              </w:rPr>
              <w:t>Unique order and row identifiers (one order can span multiple product rows)</w:t>
            </w:r>
          </w:p>
        </w:tc>
      </w:tr>
      <w:tr w:rsidR="00E42FB5" w14:paraId="18119C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196536A6" w14:textId="77777777" w:rsidR="00E42FB5" w:rsidRDefault="00C40219">
            <w:r>
              <w:rPr>
                <w:sz w:val="20"/>
                <w:szCs w:val="20"/>
              </w:rPr>
              <w:t>Order Date / Ship Date</w:t>
            </w:r>
          </w:p>
        </w:tc>
        <w:tc>
          <w:tcPr>
            <w:tcW w:w="1600" w:type="dxa"/>
            <w:shd w:val="clear" w:color="auto" w:fill="F2F2F2"/>
          </w:tcPr>
          <w:p w14:paraId="5AEE2E08" w14:textId="77777777" w:rsidR="00E42FB5" w:rsidRDefault="00C40219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00" w:type="dxa"/>
            <w:shd w:val="clear" w:color="auto" w:fill="F2F2F2"/>
          </w:tcPr>
          <w:p w14:paraId="7E68DDCA" w14:textId="77777777" w:rsidR="00E42FB5" w:rsidRDefault="00C40219">
            <w:r>
              <w:rPr>
                <w:sz w:val="20"/>
                <w:szCs w:val="20"/>
              </w:rPr>
              <w:t>Order and shipment dates, spanning 2 Jan 2014 to 30 Dec 2017</w:t>
            </w:r>
          </w:p>
        </w:tc>
      </w:tr>
      <w:tr w:rsidR="00E42FB5" w14:paraId="4BB4EC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76A8CA71" w14:textId="77777777" w:rsidR="00E42FB5" w:rsidRDefault="00C40219">
            <w:r>
              <w:rPr>
                <w:sz w:val="20"/>
                <w:szCs w:val="20"/>
              </w:rPr>
              <w:t>Ship Mode</w:t>
            </w:r>
          </w:p>
        </w:tc>
        <w:tc>
          <w:tcPr>
            <w:tcW w:w="1600" w:type="dxa"/>
          </w:tcPr>
          <w:p w14:paraId="446B3A66" w14:textId="77777777" w:rsidR="00E42FB5" w:rsidRDefault="00C40219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5200" w:type="dxa"/>
          </w:tcPr>
          <w:p w14:paraId="60AC43E1" w14:textId="77777777" w:rsidR="00E42FB5" w:rsidRDefault="00C40219">
            <w:r>
              <w:rPr>
                <w:sz w:val="20"/>
                <w:szCs w:val="20"/>
              </w:rPr>
              <w:t>Standard Class, Second Class, First Class, Same Day</w:t>
            </w:r>
          </w:p>
        </w:tc>
      </w:tr>
      <w:tr w:rsidR="00E42FB5" w14:paraId="7C2B5E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76F4DFCE" w14:textId="77777777" w:rsidR="00E42FB5" w:rsidRDefault="00C40219">
            <w:r>
              <w:rPr>
                <w:sz w:val="20"/>
                <w:szCs w:val="20"/>
              </w:rPr>
              <w:t>Customer ID / Name / Segment</w:t>
            </w:r>
          </w:p>
        </w:tc>
        <w:tc>
          <w:tcPr>
            <w:tcW w:w="1600" w:type="dxa"/>
            <w:shd w:val="clear" w:color="auto" w:fill="F2F2F2"/>
          </w:tcPr>
          <w:p w14:paraId="2B3AD4A1" w14:textId="77777777" w:rsidR="00E42FB5" w:rsidRDefault="00C40219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5200" w:type="dxa"/>
            <w:shd w:val="clear" w:color="auto" w:fill="F2F2F2"/>
          </w:tcPr>
          <w:p w14:paraId="0AFBE275" w14:textId="77777777" w:rsidR="00E42FB5" w:rsidRDefault="00C40219">
            <w:r>
              <w:rPr>
                <w:sz w:val="20"/>
                <w:szCs w:val="20"/>
              </w:rPr>
              <w:t>Segment: Consumer, Corporate, Home Office</w:t>
            </w:r>
          </w:p>
        </w:tc>
      </w:tr>
      <w:tr w:rsidR="00E42FB5" w14:paraId="023149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26CD6181" w14:textId="77777777" w:rsidR="00E42FB5" w:rsidRDefault="00C40219">
            <w:r>
              <w:rPr>
                <w:sz w:val="20"/>
                <w:szCs w:val="20"/>
              </w:rPr>
              <w:t>Country / City / State / Region / Postal Code</w:t>
            </w:r>
          </w:p>
        </w:tc>
        <w:tc>
          <w:tcPr>
            <w:tcW w:w="1600" w:type="dxa"/>
          </w:tcPr>
          <w:p w14:paraId="302247E3" w14:textId="77777777" w:rsidR="00E42FB5" w:rsidRDefault="00C40219">
            <w:r>
              <w:rPr>
                <w:sz w:val="20"/>
                <w:szCs w:val="20"/>
              </w:rPr>
              <w:t>Geographic</w:t>
            </w:r>
          </w:p>
        </w:tc>
        <w:tc>
          <w:tcPr>
            <w:tcW w:w="5200" w:type="dxa"/>
          </w:tcPr>
          <w:p w14:paraId="2E2CA7E2" w14:textId="77777777" w:rsidR="00E42FB5" w:rsidRDefault="00C40219">
            <w:r>
              <w:rPr>
                <w:sz w:val="20"/>
                <w:szCs w:val="20"/>
              </w:rPr>
              <w:t>US only; 4 regions, 49 states</w:t>
            </w:r>
          </w:p>
        </w:tc>
      </w:tr>
      <w:tr w:rsidR="00E42FB5" w14:paraId="6DE97B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37DC3532" w14:textId="77777777" w:rsidR="00E42FB5" w:rsidRDefault="00C40219">
            <w:r>
              <w:rPr>
                <w:sz w:val="20"/>
                <w:szCs w:val="20"/>
              </w:rPr>
              <w:t>Category / Sub-Category / Product Name</w:t>
            </w:r>
          </w:p>
        </w:tc>
        <w:tc>
          <w:tcPr>
            <w:tcW w:w="1600" w:type="dxa"/>
            <w:shd w:val="clear" w:color="auto" w:fill="F2F2F2"/>
          </w:tcPr>
          <w:p w14:paraId="15F18647" w14:textId="77777777" w:rsidR="00E42FB5" w:rsidRDefault="00C40219">
            <w:r>
              <w:rPr>
                <w:sz w:val="20"/>
                <w:szCs w:val="20"/>
              </w:rPr>
              <w:t>Product hierarchy</w:t>
            </w:r>
          </w:p>
        </w:tc>
        <w:tc>
          <w:tcPr>
            <w:tcW w:w="5200" w:type="dxa"/>
            <w:shd w:val="clear" w:color="auto" w:fill="F2F2F2"/>
          </w:tcPr>
          <w:p w14:paraId="6DB9045E" w14:textId="77777777" w:rsidR="00E42FB5" w:rsidRDefault="00C40219">
            <w:r>
              <w:rPr>
                <w:sz w:val="20"/>
                <w:szCs w:val="20"/>
              </w:rPr>
              <w:t>3 categories, 17 sub-categories</w:t>
            </w:r>
          </w:p>
        </w:tc>
      </w:tr>
      <w:tr w:rsidR="00E42FB5" w14:paraId="7B7E69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312BAA83" w14:textId="77777777" w:rsidR="00E42FB5" w:rsidRDefault="00C40219">
            <w:r>
              <w:rPr>
                <w:sz w:val="20"/>
                <w:szCs w:val="20"/>
              </w:rPr>
              <w:t>Sales</w:t>
            </w:r>
          </w:p>
        </w:tc>
        <w:tc>
          <w:tcPr>
            <w:tcW w:w="1600" w:type="dxa"/>
          </w:tcPr>
          <w:p w14:paraId="73393B54" w14:textId="77777777" w:rsidR="00E42FB5" w:rsidRDefault="00C40219">
            <w:r>
              <w:rPr>
                <w:sz w:val="20"/>
                <w:szCs w:val="20"/>
              </w:rPr>
              <w:t>Numeric (continuous)</w:t>
            </w:r>
          </w:p>
        </w:tc>
        <w:tc>
          <w:tcPr>
            <w:tcW w:w="5200" w:type="dxa"/>
          </w:tcPr>
          <w:p w14:paraId="75A5FA40" w14:textId="77777777" w:rsidR="00E42FB5" w:rsidRDefault="00C40219">
            <w:r>
              <w:rPr>
                <w:sz w:val="20"/>
                <w:szCs w:val="20"/>
              </w:rPr>
              <w:t>Revenue for the line item, in USD</w:t>
            </w:r>
          </w:p>
        </w:tc>
      </w:tr>
      <w:tr w:rsidR="00E42FB5" w14:paraId="0908CC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3BA058E3" w14:textId="77777777" w:rsidR="00E42FB5" w:rsidRDefault="00C40219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600" w:type="dxa"/>
            <w:shd w:val="clear" w:color="auto" w:fill="F2F2F2"/>
          </w:tcPr>
          <w:p w14:paraId="117EDCE7" w14:textId="77777777" w:rsidR="00E42FB5" w:rsidRDefault="00C40219">
            <w:r>
              <w:rPr>
                <w:sz w:val="20"/>
                <w:szCs w:val="20"/>
              </w:rPr>
              <w:t>Numeric (discrete)</w:t>
            </w:r>
          </w:p>
        </w:tc>
        <w:tc>
          <w:tcPr>
            <w:tcW w:w="5200" w:type="dxa"/>
            <w:shd w:val="clear" w:color="auto" w:fill="F2F2F2"/>
          </w:tcPr>
          <w:p w14:paraId="4AED34A0" w14:textId="77777777" w:rsidR="00E42FB5" w:rsidRDefault="00C40219">
            <w:r>
              <w:rPr>
                <w:sz w:val="20"/>
                <w:szCs w:val="20"/>
              </w:rPr>
              <w:t>Units sold</w:t>
            </w:r>
          </w:p>
        </w:tc>
      </w:tr>
      <w:tr w:rsidR="00E42FB5" w14:paraId="3CFD63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3199ECF8" w14:textId="77777777" w:rsidR="00E42FB5" w:rsidRDefault="00C40219"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1600" w:type="dxa"/>
          </w:tcPr>
          <w:p w14:paraId="7924AED9" w14:textId="77777777" w:rsidR="00E42FB5" w:rsidRDefault="00C40219">
            <w:r>
              <w:rPr>
                <w:sz w:val="20"/>
                <w:szCs w:val="20"/>
              </w:rPr>
              <w:t>Numeric (continuous, 0-0.8)</w:t>
            </w:r>
          </w:p>
        </w:tc>
        <w:tc>
          <w:tcPr>
            <w:tcW w:w="5200" w:type="dxa"/>
          </w:tcPr>
          <w:p w14:paraId="0F54A2FC" w14:textId="77777777" w:rsidR="00E42FB5" w:rsidRDefault="00C40219">
            <w:r>
              <w:rPr>
                <w:sz w:val="20"/>
                <w:szCs w:val="20"/>
              </w:rPr>
              <w:t>Discount rate applied to the line item</w:t>
            </w:r>
          </w:p>
        </w:tc>
      </w:tr>
      <w:tr w:rsidR="00E42FB5" w14:paraId="764D82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5FE304C7" w14:textId="77777777" w:rsidR="00E42FB5" w:rsidRDefault="00C40219">
            <w:r>
              <w:rPr>
                <w:sz w:val="20"/>
                <w:szCs w:val="20"/>
              </w:rPr>
              <w:lastRenderedPageBreak/>
              <w:t>Profit</w:t>
            </w:r>
          </w:p>
        </w:tc>
        <w:tc>
          <w:tcPr>
            <w:tcW w:w="1600" w:type="dxa"/>
            <w:shd w:val="clear" w:color="auto" w:fill="F2F2F2"/>
          </w:tcPr>
          <w:p w14:paraId="233B2D79" w14:textId="77777777" w:rsidR="00E42FB5" w:rsidRDefault="00C40219">
            <w:r>
              <w:rPr>
                <w:sz w:val="20"/>
                <w:szCs w:val="20"/>
              </w:rPr>
              <w:t>Numeric (continuous, can be negative)</w:t>
            </w:r>
          </w:p>
        </w:tc>
        <w:tc>
          <w:tcPr>
            <w:tcW w:w="5200" w:type="dxa"/>
            <w:shd w:val="clear" w:color="auto" w:fill="F2F2F2"/>
          </w:tcPr>
          <w:p w14:paraId="304C3301" w14:textId="77777777" w:rsidR="00E42FB5" w:rsidRDefault="00C40219">
            <w:r>
              <w:rPr>
                <w:sz w:val="20"/>
                <w:szCs w:val="20"/>
              </w:rPr>
              <w:t>Profit or loss for the line item, in USD</w:t>
            </w:r>
          </w:p>
        </w:tc>
      </w:tr>
    </w:tbl>
    <w:p w14:paraId="1685305C" w14:textId="77777777" w:rsidR="00E42FB5" w:rsidRDefault="00C40219">
      <w:pPr>
        <w:spacing w:after="160"/>
        <w:jc w:val="both"/>
      </w:pPr>
      <w:r>
        <w:t>Key variables selected for deep-dive analysis: Sales, Profit, Discount and Quantity (the four numeric measures), cross-tabulated against Category / Sub-Category, Region / State, Segment, and Ship Mode (the main cat</w:t>
      </w:r>
      <w:r>
        <w:t>egorical dimensions), plus Order Date for time-series trend analysis.</w:t>
      </w:r>
    </w:p>
    <w:p w14:paraId="0E9CF84A" w14:textId="77777777" w:rsidR="00E42FB5" w:rsidRDefault="00C40219">
      <w:pPr>
        <w:pStyle w:val="Heading1"/>
      </w:pPr>
      <w:r>
        <w:t>3. Data Preparation &amp; Cleaning</w:t>
      </w:r>
    </w:p>
    <w:p w14:paraId="36EDF192" w14:textId="77777777" w:rsidR="00E42FB5" w:rsidRDefault="00C40219">
      <w:pPr>
        <w:spacing w:after="160"/>
        <w:jc w:val="both"/>
      </w:pPr>
      <w:r>
        <w:t>Before visual exploration, the dataset was checked and prepared as follows - the same steps that would be applied in Tableau's Data Source pane or in a Tab</w:t>
      </w:r>
      <w:r>
        <w:t>leau Prep flow:</w:t>
      </w:r>
    </w:p>
    <w:p w14:paraId="61593AD7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Verified there were no missing (null) values across any of the 21 fields.</w:t>
      </w:r>
    </w:p>
    <w:p w14:paraId="37332AEA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Confirmed there were no fully duplicated rows.</w:t>
      </w:r>
    </w:p>
    <w:p w14:paraId="4102208F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Normalized Order Date and Ship Date, which were stored as text in inconsistent date formats, into proper date fields to</w:t>
      </w:r>
      <w:r>
        <w:t xml:space="preserve"> enable time-series and date-difference analysis.</w:t>
      </w:r>
    </w:p>
    <w:p w14:paraId="09A7E7B8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Derived a calculated field, Delivery Days = Ship Date minus Order Date, to analyze fulfillment speed by ship mode.</w:t>
      </w:r>
    </w:p>
    <w:p w14:paraId="09712230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Derived Profit Margin % = Profit / Sales at the category, sub-category, region and state le</w:t>
      </w:r>
      <w:r>
        <w:t>vel, to compare profitability independent of revenue size.</w:t>
      </w:r>
    </w:p>
    <w:p w14:paraId="54394295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Binned the continuous Discount field into six discount bands (0%, 1-10%, 11-20%, 21-30%, 31-50%, 51-80%) so the discount-profit relationship reads clearly as a bar chart alongside the raw scatter p</w:t>
      </w:r>
      <w:r>
        <w:t>lot.</w:t>
      </w:r>
    </w:p>
    <w:p w14:paraId="33BC4258" w14:textId="77777777" w:rsidR="00E42FB5" w:rsidRDefault="00C40219">
      <w:pPr>
        <w:spacing w:after="160"/>
        <w:jc w:val="both"/>
      </w:pPr>
      <w:r>
        <w:t>No records were removed. All 9,994 rows were retained since the dataset was already clean, and the loss-making transactions are themselves a key insight rather than noise to be filtered out.</w:t>
      </w:r>
    </w:p>
    <w:p w14:paraId="5849F93E" w14:textId="77777777" w:rsidR="00E42FB5" w:rsidRDefault="00C40219">
      <w:pPr>
        <w:pStyle w:val="Heading1"/>
      </w:pPr>
      <w:r>
        <w:t>4. Analytical Approach in Tableau</w:t>
      </w:r>
    </w:p>
    <w:p w14:paraId="28EBA01C" w14:textId="77777777" w:rsidR="00E42FB5" w:rsidRDefault="00C40219">
      <w:pPr>
        <w:spacing w:after="160"/>
        <w:jc w:val="both"/>
      </w:pPr>
      <w:r>
        <w:t>The analysis was structured the way a Tableau workbook would be built: one worksheet per business question, each using a chart type suited to the comparison being made, then assembled into a compact dashboard a stakeholder could act 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400"/>
      </w:tblGrid>
      <w:tr w:rsidR="00E42FB5" w14:paraId="1F1314B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2F5597"/>
          </w:tcPr>
          <w:p w14:paraId="726A0AD1" w14:textId="77777777" w:rsidR="00E42FB5" w:rsidRDefault="00C40219"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5400" w:type="dxa"/>
            <w:shd w:val="clear" w:color="auto" w:fill="2F5597"/>
          </w:tcPr>
          <w:p w14:paraId="692DDA0D" w14:textId="77777777" w:rsidR="00E42FB5" w:rsidRDefault="00C40219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ableau Technique Used</w:t>
            </w:r>
          </w:p>
        </w:tc>
      </w:tr>
      <w:tr w:rsidR="00E42FB5" w14:paraId="2959706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3A0F85B4" w14:textId="77777777" w:rsidR="00E42FB5" w:rsidRDefault="00C40219">
            <w:r>
              <w:rPr>
                <w:sz w:val="20"/>
                <w:szCs w:val="20"/>
              </w:rPr>
              <w:t>How are sales and profit trending over time?</w:t>
            </w:r>
          </w:p>
        </w:tc>
        <w:tc>
          <w:tcPr>
            <w:tcW w:w="5400" w:type="dxa"/>
          </w:tcPr>
          <w:p w14:paraId="00892B94" w14:textId="77777777" w:rsidR="00E42FB5" w:rsidRDefault="00C40219">
            <w:r>
              <w:rPr>
                <w:sz w:val="20"/>
                <w:szCs w:val="20"/>
              </w:rPr>
              <w:t>Continuous line chart on Order Date (Month), dual-axis combo with Profit as bars</w:t>
            </w:r>
          </w:p>
        </w:tc>
      </w:tr>
      <w:tr w:rsidR="00E42FB5" w14:paraId="760A4E2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673B177B" w14:textId="77777777" w:rsidR="00E42FB5" w:rsidRDefault="00C40219">
            <w:r>
              <w:rPr>
                <w:sz w:val="20"/>
                <w:szCs w:val="20"/>
              </w:rPr>
              <w:t>Which product categories drive revenue vs. profit?</w:t>
            </w:r>
          </w:p>
        </w:tc>
        <w:tc>
          <w:tcPr>
            <w:tcW w:w="5400" w:type="dxa"/>
            <w:shd w:val="clear" w:color="auto" w:fill="F2F2F2"/>
          </w:tcPr>
          <w:p w14:paraId="6100C820" w14:textId="77777777" w:rsidR="00E42FB5" w:rsidRDefault="00C40219">
            <w:r>
              <w:rPr>
                <w:sz w:val="20"/>
                <w:szCs w:val="20"/>
              </w:rPr>
              <w:t>Side-by-side bar chart - Sales &amp; Profit as measures, Category on rows</w:t>
            </w:r>
          </w:p>
        </w:tc>
      </w:tr>
      <w:tr w:rsidR="00E42FB5" w14:paraId="3BAC689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04647EBE" w14:textId="77777777" w:rsidR="00E42FB5" w:rsidRDefault="00C40219">
            <w:r>
              <w:rPr>
                <w:sz w:val="20"/>
                <w:szCs w:val="20"/>
              </w:rPr>
              <w:t>Which sub-categories are unprofitable?</w:t>
            </w:r>
          </w:p>
        </w:tc>
        <w:tc>
          <w:tcPr>
            <w:tcW w:w="5400" w:type="dxa"/>
          </w:tcPr>
          <w:p w14:paraId="1E5EF367" w14:textId="77777777" w:rsidR="00E42FB5" w:rsidRDefault="00C40219">
            <w:r>
              <w:rPr>
                <w:sz w:val="20"/>
                <w:szCs w:val="20"/>
              </w:rPr>
              <w:t>Diverging bar chart sorted by Profit, colour-coded red/green</w:t>
            </w:r>
          </w:p>
        </w:tc>
      </w:tr>
      <w:tr w:rsidR="00E42FB5" w14:paraId="7EF3E19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60366A0F" w14:textId="77777777" w:rsidR="00E42FB5" w:rsidRDefault="00C40219">
            <w:r>
              <w:rPr>
                <w:sz w:val="20"/>
                <w:szCs w:val="20"/>
              </w:rPr>
              <w:t>Does discounting hurt profitability?</w:t>
            </w:r>
          </w:p>
        </w:tc>
        <w:tc>
          <w:tcPr>
            <w:tcW w:w="5400" w:type="dxa"/>
            <w:shd w:val="clear" w:color="auto" w:fill="F2F2F2"/>
          </w:tcPr>
          <w:p w14:paraId="228FBA89" w14:textId="77777777" w:rsidR="00E42FB5" w:rsidRDefault="00C40219">
            <w:r>
              <w:rPr>
                <w:sz w:val="20"/>
                <w:szCs w:val="20"/>
              </w:rPr>
              <w:t>Scatter plot (Discount vs Profit) plus a binned bar chart of Discount Band vs Avg Profit</w:t>
            </w:r>
          </w:p>
        </w:tc>
      </w:tr>
      <w:tr w:rsidR="00E42FB5" w14:paraId="69516CC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6D239861" w14:textId="77777777" w:rsidR="00E42FB5" w:rsidRDefault="00C40219">
            <w:r>
              <w:rPr>
                <w:sz w:val="20"/>
                <w:szCs w:val="20"/>
              </w:rPr>
              <w:t>Where geographically is the business strong or weak?</w:t>
            </w:r>
          </w:p>
        </w:tc>
        <w:tc>
          <w:tcPr>
            <w:tcW w:w="5400" w:type="dxa"/>
          </w:tcPr>
          <w:p w14:paraId="0999B8C1" w14:textId="77777777" w:rsidR="00E42FB5" w:rsidRDefault="00C40219">
            <w:r>
              <w:rPr>
                <w:sz w:val="20"/>
                <w:szCs w:val="20"/>
              </w:rPr>
              <w:t xml:space="preserve">Bar charts by Region and State (a filled map in Tableau) </w:t>
            </w:r>
            <w:proofErr w:type="spellStart"/>
            <w:r>
              <w:rPr>
                <w:sz w:val="20"/>
                <w:szCs w:val="20"/>
              </w:rPr>
              <w:t>coloured</w:t>
            </w:r>
            <w:proofErr w:type="spellEnd"/>
            <w:r>
              <w:rPr>
                <w:sz w:val="20"/>
                <w:szCs w:val="20"/>
              </w:rPr>
              <w:t xml:space="preserve"> by Profit</w:t>
            </w:r>
          </w:p>
        </w:tc>
      </w:tr>
      <w:tr w:rsidR="00E42FB5" w14:paraId="54BA6C6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73C7C026" w14:textId="77777777" w:rsidR="00E42FB5" w:rsidRDefault="00C40219">
            <w:r>
              <w:rPr>
                <w:sz w:val="20"/>
                <w:szCs w:val="20"/>
              </w:rPr>
              <w:t>Which customer segment matters most?</w:t>
            </w:r>
          </w:p>
        </w:tc>
        <w:tc>
          <w:tcPr>
            <w:tcW w:w="5400" w:type="dxa"/>
            <w:shd w:val="clear" w:color="auto" w:fill="F2F2F2"/>
          </w:tcPr>
          <w:p w14:paraId="51235D2D" w14:textId="77777777" w:rsidR="00E42FB5" w:rsidRDefault="00C40219">
            <w:r>
              <w:rPr>
                <w:sz w:val="20"/>
                <w:szCs w:val="20"/>
              </w:rPr>
              <w:t>Donut chart of Sales share by Segment, cross-filtered with Profit</w:t>
            </w:r>
          </w:p>
        </w:tc>
      </w:tr>
      <w:tr w:rsidR="00E42FB5" w14:paraId="63059FF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</w:tcPr>
          <w:p w14:paraId="0EDE6CB7" w14:textId="77777777" w:rsidR="00E42FB5" w:rsidRDefault="00C40219">
            <w:r>
              <w:rPr>
                <w:sz w:val="20"/>
                <w:szCs w:val="20"/>
              </w:rPr>
              <w:t>Is shipping speed related to order volume or cost?</w:t>
            </w:r>
          </w:p>
        </w:tc>
        <w:tc>
          <w:tcPr>
            <w:tcW w:w="5400" w:type="dxa"/>
          </w:tcPr>
          <w:p w14:paraId="05FD572A" w14:textId="77777777" w:rsidR="00E42FB5" w:rsidRDefault="00C40219">
            <w:r>
              <w:rPr>
                <w:sz w:val="20"/>
                <w:szCs w:val="20"/>
              </w:rPr>
              <w:t>Combo chart of order cou</w:t>
            </w:r>
            <w:r>
              <w:rPr>
                <w:sz w:val="20"/>
                <w:szCs w:val="20"/>
              </w:rPr>
              <w:t>nt and average delivery days by Ship Mode</w:t>
            </w:r>
          </w:p>
        </w:tc>
      </w:tr>
      <w:tr w:rsidR="00E42FB5" w14:paraId="3D161D1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</w:tcPr>
          <w:p w14:paraId="69D6283C" w14:textId="77777777" w:rsidR="00E42FB5" w:rsidRDefault="00C40219">
            <w:r>
              <w:rPr>
                <w:sz w:val="20"/>
                <w:szCs w:val="20"/>
              </w:rPr>
              <w:t>How do the numeric measures relate to each other?</w:t>
            </w:r>
          </w:p>
        </w:tc>
        <w:tc>
          <w:tcPr>
            <w:tcW w:w="5400" w:type="dxa"/>
            <w:shd w:val="clear" w:color="auto" w:fill="F2F2F2"/>
          </w:tcPr>
          <w:p w14:paraId="57D26268" w14:textId="77777777" w:rsidR="00E42FB5" w:rsidRDefault="00C40219">
            <w:r>
              <w:rPr>
                <w:sz w:val="20"/>
                <w:szCs w:val="20"/>
              </w:rPr>
              <w:t>Correlation matrix / highlight table of Sales, Quantity, Discount, Profit</w:t>
            </w:r>
          </w:p>
        </w:tc>
      </w:tr>
    </w:tbl>
    <w:p w14:paraId="146748D0" w14:textId="77777777" w:rsidR="00E42FB5" w:rsidRDefault="00C40219">
      <w:pPr>
        <w:spacing w:after="160"/>
        <w:jc w:val="both"/>
      </w:pPr>
      <w:r>
        <w:t xml:space="preserve">In a live Tableau workbook, each visual below corresponds to one worksheet, with quick filters for Region, Segment, and Order Year enabling interactive drill-down; several worksheets would be combined into a single "Superstore Performance" dashboard using </w:t>
      </w:r>
      <w:r>
        <w:t>containers, so clicking a category bar cross-filters the discount and regional views. Tableau/Tableau Public was not available in this working environment, so the equivalent worksheets below were reproduced with Python (pandas, matplotlib) using the identi</w:t>
      </w:r>
      <w:r>
        <w:t xml:space="preserve">cal logic - the same </w:t>
      </w:r>
      <w:r>
        <w:lastRenderedPageBreak/>
        <w:t>aggregations, the same chart types, and the same colour semantics (green = profitable, red = loss-making) that Tableau would apply. Recreating each chart as an actual Tableau worksheet using Tableau Public (free) with the field mapping</w:t>
      </w:r>
      <w:r>
        <w:t xml:space="preserve"> in Section 4 is a direct, mechanical next step.</w:t>
      </w:r>
    </w:p>
    <w:p w14:paraId="59610949" w14:textId="77777777" w:rsidR="00E42FB5" w:rsidRDefault="00C40219">
      <w:pPr>
        <w:pStyle w:val="Heading1"/>
      </w:pPr>
      <w:r>
        <w:t>5. Exploratory Analysis &amp; Visualizations</w:t>
      </w:r>
    </w:p>
    <w:p w14:paraId="7AAE186C" w14:textId="77777777" w:rsidR="00E42FB5" w:rsidRDefault="00C40219">
      <w:pPr>
        <w:pStyle w:val="Heading2"/>
        <w:spacing w:before="300" w:after="150"/>
      </w:pPr>
      <w:r>
        <w:t>5.1 Sales &amp; Profit Trend Over Time</w:t>
      </w:r>
    </w:p>
    <w:p w14:paraId="03EBDE73" w14:textId="77777777" w:rsidR="00E42FB5" w:rsidRDefault="00C40219">
      <w:pPr>
        <w:spacing w:after="160"/>
        <w:jc w:val="both"/>
      </w:pPr>
      <w:r>
        <w:t>Monthly sales climbed steadily across the four-year window, from $484K in 2014 to $733K in 2017 - a compound growth trend of roughly 15% per year. Profit grew more slowly and more unevenly, reflecting margin pressure discussed in Section 5.3. Sales are als</w:t>
      </w:r>
      <w:r>
        <w:t>o strongly seasonal: November and December are consistently the strongest months (holiday buying), while February typically dips to the year's low point.</w:t>
      </w:r>
    </w:p>
    <w:p w14:paraId="0AC194F5" w14:textId="143A435D" w:rsidR="00E42FB5" w:rsidRDefault="00FE4BE2">
      <w:pPr>
        <w:spacing w:before="120" w:after="80"/>
        <w:jc w:val="center"/>
      </w:pPr>
      <w:r>
        <w:rPr>
          <w:noProof/>
        </w:rPr>
        <w:drawing>
          <wp:inline distT="0" distB="0" distL="0" distR="0" wp14:anchorId="4E2C06F8" wp14:editId="0FFDBB6B">
            <wp:extent cx="6400800" cy="44138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30CE" w14:textId="7997D4F2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1: Monthly Sales trend (line) vs Profit (bars), 2014-201</w:t>
      </w:r>
      <w:r w:rsidR="00D75564">
        <w:rPr>
          <w:i/>
          <w:iCs/>
          <w:color w:val="555555"/>
          <w:sz w:val="20"/>
          <w:szCs w:val="20"/>
        </w:rPr>
        <w:t>8</w:t>
      </w:r>
    </w:p>
    <w:p w14:paraId="1A691259" w14:textId="77777777" w:rsidR="00E42FB5" w:rsidRDefault="00C40219">
      <w:pPr>
        <w:pStyle w:val="Heading2"/>
        <w:spacing w:before="300" w:after="150"/>
      </w:pPr>
      <w:r>
        <w:t>5.2 Category and Sub-Category Perfo</w:t>
      </w:r>
      <w:r>
        <w:t>rmance</w:t>
      </w:r>
    </w:p>
    <w:p w14:paraId="4BF1AD0F" w14:textId="77777777" w:rsidR="00E42FB5" w:rsidRDefault="00C40219">
      <w:pPr>
        <w:spacing w:after="160"/>
        <w:jc w:val="both"/>
      </w:pPr>
      <w:r>
        <w:t xml:space="preserve">At the top level, Technology ($836K sales, 17.4% margin) and Office Supplies ($719K sales, 17.0% margin) are both healthy, high-margin categories. Furniture generates comparable revenue ($742K) but converts almost none of it to profit (2.5% margin) </w:t>
      </w:r>
      <w:r>
        <w:t>- it is the weakest category by a wide margin.</w:t>
      </w:r>
    </w:p>
    <w:p w14:paraId="1188F24B" w14:textId="374059EB" w:rsidR="00E42FB5" w:rsidRDefault="00D75564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B258491" wp14:editId="731A05F7">
            <wp:extent cx="5175250" cy="496570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3D28E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2: Sales vs Profit by Category</w:t>
      </w:r>
    </w:p>
    <w:p w14:paraId="6C716AF9" w14:textId="25A90282" w:rsidR="00E42FB5" w:rsidRDefault="00C40219">
      <w:pPr>
        <w:spacing w:after="160"/>
        <w:jc w:val="both"/>
      </w:pPr>
      <w:r>
        <w:t xml:space="preserve">Drilling into sub-categories exposes the source of Furniture's weak margin: Tables lose -$17.7K overall (a -8.6% margin) and Bookcases lose -$3.5K (-3.0% margin), while </w:t>
      </w:r>
      <w:proofErr w:type="gramStart"/>
      <w:r>
        <w:t>Supplies</w:t>
      </w:r>
      <w:proofErr w:type="gramEnd"/>
      <w:r>
        <w:t xml:space="preserve"> also runs a small loss (-2.5% margin). At the other end, Copiers (37.2% margin), Labels (44.4%) and Envelopes (42.3%) are the most profitable sub-categories, even though they generate comparatively low revenue.</w:t>
      </w:r>
    </w:p>
    <w:p w14:paraId="5621C70B" w14:textId="61ABE96C" w:rsidR="00E42FB5" w:rsidRDefault="00D75564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90F32FF" wp14:editId="77004D8C">
            <wp:extent cx="5422900" cy="488950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E31C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3: Total Profit by Sub-Cate</w:t>
      </w:r>
      <w:r>
        <w:rPr>
          <w:i/>
          <w:iCs/>
          <w:color w:val="555555"/>
          <w:sz w:val="20"/>
          <w:szCs w:val="20"/>
        </w:rPr>
        <w:t>gory (red = net loss)</w:t>
      </w:r>
    </w:p>
    <w:p w14:paraId="235E9B84" w14:textId="77777777" w:rsidR="00E42FB5" w:rsidRDefault="00C40219">
      <w:pPr>
        <w:pStyle w:val="Heading2"/>
        <w:spacing w:before="300" w:after="150"/>
      </w:pPr>
      <w:r>
        <w:t>5.3 Discount vs Profitability</w:t>
      </w:r>
    </w:p>
    <w:p w14:paraId="7F80D178" w14:textId="77777777" w:rsidR="00E42FB5" w:rsidRDefault="00C40219">
      <w:pPr>
        <w:spacing w:after="160"/>
        <w:jc w:val="both"/>
      </w:pPr>
      <w:r>
        <w:t xml:space="preserve">Discount rate has a clear negative relationship with profit (correlation coefficient -0.22 with Profit directly, and the effect is much sharper when profit is measured as a rate). Orders with 0% discount </w:t>
      </w:r>
      <w:r>
        <w:t>average $66.90 profit; profit stays positive through the 11-20% discount band ($24.74 average) but flips negative from 21% discount onward, bottoming out at an average loss of -$156.28 per order in the 31-50% discount band.</w:t>
      </w:r>
    </w:p>
    <w:p w14:paraId="0BF0E37B" w14:textId="77777777" w:rsidR="00E42FB5" w:rsidRDefault="00C4021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D6569E3" wp14:editId="269BE9C1">
            <wp:extent cx="5715000" cy="3171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4F7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4: Discount Rate vs Pro</w:t>
      </w:r>
      <w:r>
        <w:rPr>
          <w:i/>
          <w:iCs/>
          <w:color w:val="555555"/>
          <w:sz w:val="20"/>
          <w:szCs w:val="20"/>
        </w:rPr>
        <w:t>fit, order-level scatter</w:t>
      </w:r>
    </w:p>
    <w:p w14:paraId="288692CF" w14:textId="62025A85" w:rsidR="00E42FB5" w:rsidRDefault="00D75564">
      <w:pPr>
        <w:spacing w:before="120" w:after="80"/>
        <w:jc w:val="center"/>
      </w:pPr>
      <w:r>
        <w:rPr>
          <w:noProof/>
        </w:rPr>
        <w:drawing>
          <wp:inline distT="0" distB="0" distL="0" distR="0" wp14:anchorId="47E2753F" wp14:editId="3744B5E1">
            <wp:extent cx="4343400" cy="48895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E930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5: Average Profit per order by Discount Band</w:t>
      </w:r>
    </w:p>
    <w:p w14:paraId="1690B60D" w14:textId="77777777" w:rsidR="00E42FB5" w:rsidRDefault="00C40219">
      <w:pPr>
        <w:spacing w:after="160"/>
        <w:jc w:val="both"/>
      </w:pPr>
      <w:r>
        <w:lastRenderedPageBreak/>
        <w:t>This is one of the clearest, most actionable patterns in the dataset: discounts above ~20% are, on average, unprofitable, and the 1,871 orders (18.7% of all orders) that lost mo</w:t>
      </w:r>
      <w:r>
        <w:t>ney collectively cost the business $156K in profit - roughly 55% of total realized profit.</w:t>
      </w:r>
    </w:p>
    <w:p w14:paraId="48A4BB82" w14:textId="77777777" w:rsidR="00E42FB5" w:rsidRDefault="00C40219">
      <w:pPr>
        <w:pStyle w:val="Heading2"/>
        <w:spacing w:before="300" w:after="150"/>
      </w:pPr>
      <w:r>
        <w:t>5.4 Regional and Geographic Performance</w:t>
      </w:r>
    </w:p>
    <w:p w14:paraId="72BA3933" w14:textId="77777777" w:rsidR="00E42FB5" w:rsidRDefault="00C40219">
      <w:pPr>
        <w:spacing w:after="160"/>
        <w:jc w:val="both"/>
      </w:pPr>
      <w:r>
        <w:t>The West region leads on both sales ($725K) and margin (14.9%), followed closely by the East (13.5% margin). The Central regi</w:t>
      </w:r>
      <w:r>
        <w:t>on is the weakest, generating $501K in sales but only a 7.9% margin - roughly half the West's profitability rate despite being the second-largest region by order volume.</w:t>
      </w:r>
    </w:p>
    <w:p w14:paraId="6D314499" w14:textId="3A5523F3" w:rsidR="00E42FB5" w:rsidRDefault="00D75564">
      <w:pPr>
        <w:spacing w:before="120" w:after="80"/>
        <w:jc w:val="center"/>
      </w:pPr>
      <w:r>
        <w:rPr>
          <w:noProof/>
        </w:rPr>
        <w:drawing>
          <wp:inline distT="0" distB="0" distL="0" distR="0" wp14:anchorId="7D16CC2D" wp14:editId="0D3B6317">
            <wp:extent cx="5899150" cy="497205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9127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6: Sales &amp; Profit by Region</w:t>
      </w:r>
    </w:p>
    <w:p w14:paraId="20CA4A7B" w14:textId="77777777" w:rsidR="00E42FB5" w:rsidRDefault="00C40219">
      <w:pPr>
        <w:spacing w:after="160"/>
        <w:jc w:val="both"/>
      </w:pPr>
      <w:r>
        <w:t>At the state level, California ($458K) and New Yo</w:t>
      </w:r>
      <w:r>
        <w:t>rk ($311K) are by far the largest markets. However, the states with the largest total sales are not always the most profitable: Texas, Ohio, Pennsylvania and Illinois are simultaneously in the top 10 for sales and the top 5 for total losses (Texas alone lo</w:t>
      </w:r>
      <w:r>
        <w:t>st -$25.7K), indicating a state-level, not just category-level, discounting or cost problem.</w:t>
      </w:r>
    </w:p>
    <w:p w14:paraId="0B9804D6" w14:textId="77777777" w:rsidR="00E42FB5" w:rsidRDefault="00C4021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B080D11" wp14:editId="0EEA1008">
            <wp:extent cx="5715000" cy="3171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4967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7: Top 10 States by Sales</w:t>
      </w:r>
    </w:p>
    <w:p w14:paraId="7352CF14" w14:textId="77777777" w:rsidR="00E42FB5" w:rsidRDefault="00C40219">
      <w:pPr>
        <w:pStyle w:val="Heading2"/>
        <w:spacing w:before="300" w:after="150"/>
      </w:pPr>
      <w:r>
        <w:t>5.5 Customer Segment Analysis</w:t>
      </w:r>
    </w:p>
    <w:p w14:paraId="4ADF2A3A" w14:textId="77777777" w:rsidR="00E42FB5" w:rsidRDefault="00C40219">
      <w:pPr>
        <w:spacing w:after="160"/>
        <w:jc w:val="both"/>
      </w:pPr>
      <w:r>
        <w:t>The Consumer segment is the largest contributor, generating 50.6% of total sales ($1.16M) and $134</w:t>
      </w:r>
      <w:r>
        <w:t>K profit, roughly 46% more profit than Corporate and over twice that of Home Office. Corporate ($706K sales, $92K profit) and Home Office ($430K sales, $60K profit) are smaller but broadly proportionate in profitability to their revenue share, suggesting s</w:t>
      </w:r>
      <w:r>
        <w:t>egment mix is not itself a driver of the margin problem - the discount and product issues cut across all three segments.</w:t>
      </w:r>
    </w:p>
    <w:p w14:paraId="6E63C590" w14:textId="159F7DBC" w:rsidR="00E42FB5" w:rsidRDefault="00D75564">
      <w:pPr>
        <w:spacing w:before="120" w:after="80"/>
        <w:jc w:val="center"/>
      </w:pPr>
      <w:r>
        <w:lastRenderedPageBreak/>
        <w:t>-</w:t>
      </w:r>
      <w:r>
        <w:rPr>
          <w:noProof/>
        </w:rPr>
        <w:drawing>
          <wp:inline distT="0" distB="0" distL="0" distR="0" wp14:anchorId="64402ADD" wp14:editId="2F8EDAD3">
            <wp:extent cx="6400800" cy="47351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24FF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8: Sales share by Customer Segment</w:t>
      </w:r>
    </w:p>
    <w:p w14:paraId="685AEB87" w14:textId="77777777" w:rsidR="00E42FB5" w:rsidRDefault="00C40219">
      <w:pPr>
        <w:pStyle w:val="Heading2"/>
        <w:spacing w:before="300" w:after="150"/>
      </w:pPr>
      <w:r>
        <w:t>5.6 Shipping Mode &amp; Delivery Analysis</w:t>
      </w:r>
    </w:p>
    <w:p w14:paraId="030A9049" w14:textId="77777777" w:rsidR="00E42FB5" w:rsidRDefault="00C40219">
      <w:pPr>
        <w:spacing w:after="160"/>
        <w:jc w:val="both"/>
      </w:pPr>
      <w:r>
        <w:t xml:space="preserve">Standard Class is used for the large majority of orders (5,968 of </w:t>
      </w:r>
      <w:proofErr w:type="gramStart"/>
      <w:r>
        <w:t>9,994 line</w:t>
      </w:r>
      <w:proofErr w:type="gramEnd"/>
      <w:r>
        <w:t xml:space="preserve"> items) and averages 12.2 days from order to ship date, the slowest option. Same Day delivery, used for only 543 orders, understandably averages under a day. First and Second Class</w:t>
      </w:r>
      <w:r>
        <w:t xml:space="preserve"> sit in between (6.7 and 5.2 days respectively). Sales and profit scale roughly with volume across ship modes, i.e., there is no evidence that faster shipping options are being under- or over-used relative to their profitability.</w:t>
      </w:r>
    </w:p>
    <w:p w14:paraId="474DE5C2" w14:textId="57E486CB" w:rsidR="00E42FB5" w:rsidRDefault="00D75564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4355104" wp14:editId="7F4EE7C5">
            <wp:extent cx="4870450" cy="4775200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27E3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9: Ship Mode usage (bars) vs Avg Delivery Days (line)</w:t>
      </w:r>
    </w:p>
    <w:p w14:paraId="0D2AE2DE" w14:textId="77777777" w:rsidR="00E42FB5" w:rsidRDefault="00C40219">
      <w:pPr>
        <w:pStyle w:val="Heading2"/>
        <w:spacing w:before="300" w:after="150"/>
      </w:pPr>
      <w:r>
        <w:t>5.7 Correlation Analysis</w:t>
      </w:r>
    </w:p>
    <w:p w14:paraId="414E295A" w14:textId="77777777" w:rsidR="00E42FB5" w:rsidRDefault="00C40219">
      <w:pPr>
        <w:spacing w:after="160"/>
        <w:jc w:val="both"/>
      </w:pPr>
      <w:r>
        <w:t>A correlation matrix across the four numeric measures confirms the visual findings: Sales and Profit are positively correlated (+0.48) - larger orders tend to be more pro</w:t>
      </w:r>
      <w:r>
        <w:t>fitable in absolute terms - while Discount and Profit are negatively correlated (-0.22). Quantity has a weak positive relationship with both Sales (+0.20) and Profit (+0.07), and essentially no relationship with Discount, indicating that discounting is not</w:t>
      </w:r>
      <w:r>
        <w:t xml:space="preserve"> meaningfully driving higher unit volumes to compensate for the lower margin.</w:t>
      </w:r>
    </w:p>
    <w:p w14:paraId="6E953F34" w14:textId="77777777" w:rsidR="00E42FB5" w:rsidRDefault="00C4021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3B5566C" wp14:editId="7EC130BE">
            <wp:extent cx="4000500" cy="3276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A21A" w14:textId="77777777" w:rsidR="00E42FB5" w:rsidRDefault="00C40219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10: Correlation matrix - Sales, Quantity, Discount, Profit</w:t>
      </w:r>
    </w:p>
    <w:p w14:paraId="09A5B529" w14:textId="77777777" w:rsidR="00E42FB5" w:rsidRDefault="00C40219">
      <w:pPr>
        <w:pStyle w:val="Heading1"/>
      </w:pPr>
      <w:r>
        <w:t>6. Outlier &amp; Anomaly Detection</w:t>
      </w:r>
    </w:p>
    <w:p w14:paraId="3523A728" w14:textId="77777777" w:rsidR="00E42FB5" w:rsidRDefault="00C40219">
      <w:pPr>
        <w:spacing w:after="160"/>
        <w:jc w:val="both"/>
      </w:pPr>
      <w:r>
        <w:t>Using the IQR method on the Sales field (upper bound = Q3 + 1.5xIQR = $498.93),</w:t>
      </w:r>
      <w:r>
        <w:t xml:space="preserve"> 1,167 of 9,994 orders (11.7%) qualify as high-value outliers - expected in retail data, where a small number of bulk or high-ticket orders (e.g., Copiers, Machines) contribute disproportionately to revenue.</w:t>
      </w:r>
    </w:p>
    <w:p w14:paraId="33D08B63" w14:textId="77777777" w:rsidR="00E42FB5" w:rsidRDefault="00C40219">
      <w:pPr>
        <w:spacing w:after="160"/>
        <w:jc w:val="both"/>
      </w:pPr>
      <w:r>
        <w:t>More important from a business standpoint are th</w:t>
      </w:r>
      <w:r>
        <w:t xml:space="preserve">e extreme loss transactions. The single worst transaction was a Machines order in Ohio (November 2016) sold at a 70% discount, generating $4,500 in sales but a $6,600 loss on that </w:t>
      </w:r>
      <w:proofErr w:type="gramStart"/>
      <w:r>
        <w:t>one line</w:t>
      </w:r>
      <w:proofErr w:type="gramEnd"/>
      <w:r>
        <w:t xml:space="preserve"> item alone. Four of the five largest losses in the entire dataset i</w:t>
      </w:r>
      <w:r>
        <w:t>nvolve discounts of 50% or higher, reinforcing the discount-band finding in Section 5.3 - these are not random anomalies but a systemic pattern concentrated in Machines, Binders and Tables at deep discount levels.</w:t>
      </w:r>
    </w:p>
    <w:p w14:paraId="62803758" w14:textId="77777777" w:rsidR="00E42FB5" w:rsidRDefault="00C40219">
      <w:pPr>
        <w:spacing w:after="160"/>
        <w:jc w:val="both"/>
      </w:pPr>
      <w:r>
        <w:t>Conversely, the most profitable single tra</w:t>
      </w:r>
      <w:r>
        <w:t>nsactions are Copiers and Binders sold at 0% discount (up to $8,400 profit on one order), showing that this business is highly capable of strong margins when full price is maintained.</w:t>
      </w:r>
    </w:p>
    <w:p w14:paraId="6BD817C3" w14:textId="77777777" w:rsidR="00E42FB5" w:rsidRDefault="00C40219">
      <w:pPr>
        <w:pStyle w:val="Heading1"/>
      </w:pPr>
      <w:r>
        <w:t>7. Key Business Insights</w:t>
      </w:r>
    </w:p>
    <w:p w14:paraId="5C148A26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Deep discounting destroys margin, not just redu</w:t>
      </w:r>
      <w:r>
        <w:t>ces it. Profit turns negative on average once discount exceeds ~20%, and the 31-50% discount band averages a $156 loss per order. This single pattern accounts for a majority of the store's foregone profit.</w:t>
      </w:r>
    </w:p>
    <w:p w14:paraId="1B04CCD1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Furniture is the weak link in the product portfoli</w:t>
      </w:r>
      <w:r>
        <w:t>o. Despite generating nearly as much revenue as Technology, its 2.5% margin is roughly 7x lower, driven almost entirely by the Tables and Bookcases sub-categories, both of which are net loss-making overall.</w:t>
      </w:r>
    </w:p>
    <w:p w14:paraId="22322ED1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Revenue and profitability are geographically deco</w:t>
      </w:r>
      <w:r>
        <w:t>upled. Some of the largest markets by sales (Texas, Ohio, Pennsylvania, Illinois) are simultaneously among the biggest sources of loss, while the West region combines high revenue with the best margin.</w:t>
      </w:r>
    </w:p>
    <w:p w14:paraId="7A3AC6F0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 xml:space="preserve">A small number of orders account for a large share of </w:t>
      </w:r>
      <w:r>
        <w:t>lost profit. Only 18.7% of orders are loss-making, but they erase an amount equal to more than half of total realized profit ($156K in losses vs. $286K net profit).</w:t>
      </w:r>
    </w:p>
    <w:p w14:paraId="3BEEDC2D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lastRenderedPageBreak/>
        <w:t>The Consumer segment is the profit engine of the business, contributing just over half of t</w:t>
      </w:r>
      <w:r>
        <w:t>otal sales and profit, with Corporate and Home Office scaling roughly proportionately rather than under- or over-performing.</w:t>
      </w:r>
    </w:p>
    <w:p w14:paraId="55816EE8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Copiers, Labels, and Envelopes are disproportionately profitable relative to their revenue share and are candidates for expanded ma</w:t>
      </w:r>
      <w:r>
        <w:t>rketing focus.</w:t>
      </w:r>
    </w:p>
    <w:p w14:paraId="61889BD6" w14:textId="77777777" w:rsidR="00E42FB5" w:rsidRDefault="00C40219">
      <w:pPr>
        <w:pStyle w:val="Heading1"/>
      </w:pPr>
      <w:r>
        <w:t>8. Recommendations</w:t>
      </w:r>
    </w:p>
    <w:p w14:paraId="50CF4D9D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Cap or restructure discounts above 20%, especially on Tables, Bookcases, and Machines, or require managerial approval for deals in that range, since this is where the data shows profit consistently turns negative.</w:t>
      </w:r>
    </w:p>
    <w:p w14:paraId="3BE156F4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Review F</w:t>
      </w:r>
      <w:r>
        <w:t>urniture pricing and supplier/shipping cost structure specifically for Tables and Bookcases; consider whether freight or fulfillment costs (large/bulky items) are the hidden driver of the loss, which would need cost data beyond this dataset to confirm.</w:t>
      </w:r>
    </w:p>
    <w:p w14:paraId="4ED19D17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Inv</w:t>
      </w:r>
      <w:r>
        <w:t xml:space="preserve">estigate state-level pricing/discount practices in Texas, Ohio, Pennsylvania, and Illinois, where high sales volume is not translating into profit - this may reflect regional sales-team discounting </w:t>
      </w:r>
      <w:proofErr w:type="spellStart"/>
      <w:r>
        <w:t>behaviour</w:t>
      </w:r>
      <w:proofErr w:type="spellEnd"/>
      <w:r>
        <w:t xml:space="preserve"> or region-specific competitive pressure.</w:t>
      </w:r>
    </w:p>
    <w:p w14:paraId="5A845C03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Protect and grow the high-margin Copiers, Labels, Envelopes and Accessories lines through cross-sell or bundling, since they show the business can sustain strong margins when priced closer to full price.</w:t>
      </w:r>
    </w:p>
    <w:p w14:paraId="22CAC512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Use the Consumer segment as the primary lens for ret</w:t>
      </w:r>
      <w:r>
        <w:t>ention and loyalty investment, given it delivers the largest share of both sales and profit.</w:t>
      </w:r>
    </w:p>
    <w:p w14:paraId="57F6FF2E" w14:textId="77777777" w:rsidR="00E42FB5" w:rsidRDefault="00C40219">
      <w:pPr>
        <w:pStyle w:val="Heading1"/>
      </w:pPr>
      <w:r>
        <w:t>9. Areas for Further Investigation</w:t>
      </w:r>
    </w:p>
    <w:p w14:paraId="39A87807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Cost/freight data: the dataset has no cost-of-goods or shipping-cost field, so it is not possible to fully separate "bad discoun</w:t>
      </w:r>
      <w:r>
        <w:t>ting" from "structurally expensive-to-ship" products (e.g., Tables, Bookcases) - obtaining COGS and freight data would sharpen the Furniture recommendation.</w:t>
      </w:r>
    </w:p>
    <w:p w14:paraId="0F11891A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Customer-level RFM (Recency, Frequency, Monetary) segmentation to identify high-value repeat custom</w:t>
      </w:r>
      <w:r>
        <w:t>ers versus one-time discount-driven buyers.</w:t>
      </w:r>
    </w:p>
    <w:p w14:paraId="2EC554C8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Time-to-discount analysis: whether deep discounts cluster around specific months (e.g., end-of-quarter clearance) or specific sales reps, which the current fields do not capture.</w:t>
      </w:r>
    </w:p>
    <w:p w14:paraId="6352482F" w14:textId="77777777" w:rsidR="00E42FB5" w:rsidRDefault="00C40219">
      <w:pPr>
        <w:pStyle w:val="ListParagraph"/>
        <w:numPr>
          <w:ilvl w:val="0"/>
          <w:numId w:val="1"/>
        </w:numPr>
        <w:spacing w:after="80"/>
      </w:pPr>
      <w:r>
        <w:t>A proper Tableau dashboard build-</w:t>
      </w:r>
      <w:r>
        <w:t>out (using Tableau Public, which is free) with the worksheets described in Section 4, adding interactive parameters for a "what-if" discount cap, and a filled map visualization for state-level profit, which is not achievable in static matplotlib charts.</w:t>
      </w:r>
    </w:p>
    <w:p w14:paraId="66A81082" w14:textId="77777777" w:rsidR="00E42FB5" w:rsidRDefault="00C40219">
      <w:pPr>
        <w:pStyle w:val="Heading1"/>
      </w:pPr>
      <w:r>
        <w:t>10</w:t>
      </w:r>
      <w:r>
        <w:t>. Conclusion</w:t>
      </w:r>
    </w:p>
    <w:p w14:paraId="588E3879" w14:textId="77777777" w:rsidR="00E42FB5" w:rsidRDefault="00C40219">
      <w:pPr>
        <w:spacing w:after="160"/>
        <w:jc w:val="both"/>
      </w:pPr>
      <w:r>
        <w:t>This exploratory analysis of the Sample Superstore dataset shows a fundamentally healthy retail business (12.5% overall margin, steady four-year sales growth) whose profitability is being materially reduced by a concentrated, identifiable patt</w:t>
      </w:r>
      <w:r>
        <w:t>ern: excessive discounting on a handful of sub-categories and in specific states. Because the pattern is concentrated rather than diffuse, it is directly actionable - a discount-approval threshold and a Furniture-category cost review are the two highest-le</w:t>
      </w:r>
      <w:r>
        <w:t xml:space="preserve">verage next steps. The dashboard structure proposed in Section 4 would let a business stakeholder explore these same conclusions interactively, filtering by year, region, or segment, which is the natural next deliverable once this static exploratory phase </w:t>
      </w:r>
      <w:r>
        <w:t>is complete.</w:t>
      </w:r>
    </w:p>
    <w:sectPr w:rsidR="00E42FB5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135D0" w14:textId="77777777" w:rsidR="00C40219" w:rsidRDefault="00C40219">
      <w:r>
        <w:separator/>
      </w:r>
    </w:p>
  </w:endnote>
  <w:endnote w:type="continuationSeparator" w:id="0">
    <w:p w14:paraId="02818E31" w14:textId="77777777" w:rsidR="00C40219" w:rsidRDefault="00C40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AD8BA" w14:textId="77777777" w:rsidR="00E42FB5" w:rsidRDefault="00C40219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E4B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FF011" w14:textId="77777777" w:rsidR="00C40219" w:rsidRDefault="00C40219">
      <w:r>
        <w:separator/>
      </w:r>
    </w:p>
  </w:footnote>
  <w:footnote w:type="continuationSeparator" w:id="0">
    <w:p w14:paraId="5A0AB357" w14:textId="77777777" w:rsidR="00C40219" w:rsidRDefault="00C40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EEEDD" w14:textId="77777777" w:rsidR="00E42FB5" w:rsidRDefault="00C40219">
    <w:pPr>
      <w:jc w:val="right"/>
    </w:pPr>
    <w:r>
      <w:rPr>
        <w:color w:val="888888"/>
        <w:sz w:val="16"/>
        <w:szCs w:val="16"/>
      </w:rPr>
      <w:t>EDA Report - Sample Superstore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63577"/>
    <w:multiLevelType w:val="hybridMultilevel"/>
    <w:tmpl w:val="9B2A2B78"/>
    <w:lvl w:ilvl="0" w:tplc="E21E5834">
      <w:start w:val="1"/>
      <w:numFmt w:val="bullet"/>
      <w:lvlText w:val="●"/>
      <w:lvlJc w:val="left"/>
      <w:pPr>
        <w:ind w:left="720" w:hanging="360"/>
      </w:pPr>
    </w:lvl>
    <w:lvl w:ilvl="1" w:tplc="36E20BA4">
      <w:start w:val="1"/>
      <w:numFmt w:val="bullet"/>
      <w:lvlText w:val="○"/>
      <w:lvlJc w:val="left"/>
      <w:pPr>
        <w:ind w:left="1440" w:hanging="360"/>
      </w:pPr>
    </w:lvl>
    <w:lvl w:ilvl="2" w:tplc="DD14F7EC">
      <w:start w:val="1"/>
      <w:numFmt w:val="bullet"/>
      <w:lvlText w:val="■"/>
      <w:lvlJc w:val="left"/>
      <w:pPr>
        <w:ind w:left="2160" w:hanging="360"/>
      </w:pPr>
    </w:lvl>
    <w:lvl w:ilvl="3" w:tplc="9FBC9152">
      <w:start w:val="1"/>
      <w:numFmt w:val="bullet"/>
      <w:lvlText w:val="●"/>
      <w:lvlJc w:val="left"/>
      <w:pPr>
        <w:ind w:left="2880" w:hanging="360"/>
      </w:pPr>
    </w:lvl>
    <w:lvl w:ilvl="4" w:tplc="79E6EDEC">
      <w:start w:val="1"/>
      <w:numFmt w:val="bullet"/>
      <w:lvlText w:val="○"/>
      <w:lvlJc w:val="left"/>
      <w:pPr>
        <w:ind w:left="3600" w:hanging="360"/>
      </w:pPr>
    </w:lvl>
    <w:lvl w:ilvl="5" w:tplc="18EA3440">
      <w:start w:val="1"/>
      <w:numFmt w:val="bullet"/>
      <w:lvlText w:val="■"/>
      <w:lvlJc w:val="left"/>
      <w:pPr>
        <w:ind w:left="4320" w:hanging="360"/>
      </w:pPr>
    </w:lvl>
    <w:lvl w:ilvl="6" w:tplc="CDFA85B8">
      <w:start w:val="1"/>
      <w:numFmt w:val="bullet"/>
      <w:lvlText w:val="●"/>
      <w:lvlJc w:val="left"/>
      <w:pPr>
        <w:ind w:left="5040" w:hanging="360"/>
      </w:pPr>
    </w:lvl>
    <w:lvl w:ilvl="7" w:tplc="43102F02">
      <w:start w:val="1"/>
      <w:numFmt w:val="bullet"/>
      <w:lvlText w:val="●"/>
      <w:lvlJc w:val="left"/>
      <w:pPr>
        <w:ind w:left="5760" w:hanging="360"/>
      </w:pPr>
    </w:lvl>
    <w:lvl w:ilvl="8" w:tplc="A6E88B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FB5"/>
    <w:rsid w:val="00077D1C"/>
    <w:rsid w:val="00C40219"/>
    <w:rsid w:val="00D75564"/>
    <w:rsid w:val="00E42FB5"/>
    <w:rsid w:val="00FE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D873"/>
  <w15:docId w15:val="{AD200282-F9FF-4FED-B71C-50AB440E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F559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2636</Words>
  <Characters>15031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Mukesh Samrit</cp:lastModifiedBy>
  <cp:revision>2</cp:revision>
  <dcterms:created xsi:type="dcterms:W3CDTF">2026-08-15T06:15:00Z</dcterms:created>
  <dcterms:modified xsi:type="dcterms:W3CDTF">2026-08-28T10:20:00Z</dcterms:modified>
</cp:coreProperties>
</file>