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5D2AF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8EAADB" w:themeColor="accent1" w:themeTint="99"/>
          <w:kern w:val="36"/>
          <w:sz w:val="36"/>
          <w:szCs w:val="3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kern w:val="36"/>
          <w:sz w:val="36"/>
          <w:szCs w:val="36"/>
        </w:rPr>
        <w:t>Advanced Chart Techniques and Calculation Insights</w:t>
      </w:r>
    </w:p>
    <w:p w14:paraId="42E0321B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  <w:t>Week 4 Task – Sales Performance &amp; Growth Opportunities</w:t>
      </w:r>
    </w:p>
    <w:p w14:paraId="2DEF07EF" w14:textId="2BDA86CC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2"/>
        </w:rPr>
      </w:pPr>
      <w:r w:rsidRPr="002B1FFE">
        <w:rPr>
          <w:rFonts w:ascii="Times New Roman" w:eastAsia="Times New Roman" w:hAnsi="Times New Roman" w:cs="Times New Roman"/>
          <w:b/>
          <w:bCs/>
          <w:szCs w:val="22"/>
        </w:rPr>
        <w:t>Prepared by:</w:t>
      </w:r>
      <w:r w:rsidRPr="002B1FFE">
        <w:rPr>
          <w:rFonts w:ascii="Times New Roman" w:eastAsia="Times New Roman" w:hAnsi="Times New Roman" w:cs="Times New Roman"/>
          <w:szCs w:val="22"/>
        </w:rPr>
        <w:t xml:space="preserve"> </w:t>
      </w:r>
      <w:r w:rsidR="005C6585">
        <w:rPr>
          <w:rFonts w:ascii="Times New Roman" w:eastAsia="Times New Roman" w:hAnsi="Times New Roman" w:cs="Times New Roman"/>
          <w:szCs w:val="22"/>
        </w:rPr>
        <w:t>Mukesh Samarit</w:t>
      </w:r>
      <w:r w:rsidRPr="002B1FFE">
        <w:rPr>
          <w:rFonts w:ascii="Times New Roman" w:eastAsia="Times New Roman" w:hAnsi="Times New Roman" w:cs="Times New Roman"/>
          <w:szCs w:val="22"/>
        </w:rPr>
        <w:br/>
      </w:r>
      <w:r w:rsidRPr="002B1FFE">
        <w:rPr>
          <w:rFonts w:ascii="Times New Roman" w:eastAsia="Times New Roman" w:hAnsi="Times New Roman" w:cs="Times New Roman"/>
          <w:b/>
          <w:bCs/>
          <w:szCs w:val="22"/>
        </w:rPr>
        <w:t>Course / Module:</w:t>
      </w:r>
      <w:r w:rsidRPr="002B1FFE">
        <w:rPr>
          <w:rFonts w:ascii="Times New Roman" w:eastAsia="Times New Roman" w:hAnsi="Times New Roman" w:cs="Times New Roman"/>
          <w:szCs w:val="22"/>
        </w:rPr>
        <w:t xml:space="preserve"> </w:t>
      </w:r>
      <w:r w:rsidR="005C6585" w:rsidRPr="005C6585">
        <w:rPr>
          <w:rFonts w:ascii="Times New Roman" w:eastAsia="Times New Roman" w:hAnsi="Times New Roman" w:cs="Times New Roman"/>
          <w:szCs w:val="22"/>
        </w:rPr>
        <w:t>Virtual Tableau Visualization Intern</w:t>
      </w:r>
      <w:r w:rsidRPr="002B1FFE">
        <w:rPr>
          <w:rFonts w:ascii="Times New Roman" w:eastAsia="Times New Roman" w:hAnsi="Times New Roman" w:cs="Times New Roman"/>
          <w:szCs w:val="22"/>
        </w:rPr>
        <w:br/>
      </w:r>
      <w:r w:rsidRPr="002B1FFE">
        <w:rPr>
          <w:rFonts w:ascii="Times New Roman" w:eastAsia="Times New Roman" w:hAnsi="Times New Roman" w:cs="Times New Roman"/>
          <w:b/>
          <w:bCs/>
          <w:szCs w:val="22"/>
        </w:rPr>
        <w:t>Date:</w:t>
      </w:r>
      <w:r w:rsidRPr="002B1FFE">
        <w:rPr>
          <w:rFonts w:ascii="Times New Roman" w:eastAsia="Times New Roman" w:hAnsi="Times New Roman" w:cs="Times New Roman"/>
          <w:szCs w:val="22"/>
        </w:rPr>
        <w:t xml:space="preserve"> 29 August 2026</w:t>
      </w:r>
    </w:p>
    <w:p w14:paraId="4610294D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7BC8B4">
          <v:rect id="_x0000_i1025" style="width:0;height:1.5pt" o:hralign="center" o:hrstd="t" o:hr="t" fillcolor="#a0a0a0" stroked="f"/>
        </w:pict>
      </w:r>
    </w:p>
    <w:p w14:paraId="750D41C4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  <w:t>1. Objective and Approach</w:t>
      </w:r>
    </w:p>
    <w:p w14:paraId="18A0F165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  <w:t xml:space="preserve">1.1 </w:t>
      </w: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Objective</w:t>
      </w:r>
    </w:p>
    <w:p w14:paraId="71596676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The objective of this task is to deepen analytical insights by applying advanced charting techniques and calculated fields in Tableau. Using the existing sales dataset, the goal is to:</w:t>
      </w:r>
    </w:p>
    <w:p w14:paraId="0DBCB49B" w14:textId="77777777" w:rsidR="002B1FFE" w:rsidRPr="002B1FFE" w:rsidRDefault="002B1FFE" w:rsidP="002B1F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Reveal more nuanced patterns in revenue, discounting, delivery performance, and customer satisfaction.</w:t>
      </w:r>
    </w:p>
    <w:p w14:paraId="1B695BFA" w14:textId="77777777" w:rsidR="002B1FFE" w:rsidRPr="002B1FFE" w:rsidRDefault="002B1FFE" w:rsidP="002B1F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Demonstrate how advanced visualizations and dynamic calculations can enhance decision-making for the marketing manager.</w:t>
      </w:r>
    </w:p>
    <w:p w14:paraId="33FA4C1B" w14:textId="77777777" w:rsidR="002B1FFE" w:rsidRPr="002B1FFE" w:rsidRDefault="002B1FFE" w:rsidP="002B1F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Maintain a clear visual narrative that aligns with the Week 2 and Week 3 dashboard and data story.</w:t>
      </w:r>
    </w:p>
    <w:p w14:paraId="244669D3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1.2 Approach</w:t>
      </w:r>
    </w:p>
    <w:p w14:paraId="3C56781A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The approach consists of three main steps:</w:t>
      </w:r>
    </w:p>
    <w:p w14:paraId="5C4A5CFA" w14:textId="77777777" w:rsidR="002B1FFE" w:rsidRPr="002B1FFE" w:rsidRDefault="002B1FFE" w:rsidP="002B1FF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Research and Selection of Advanced Visualizations</w:t>
      </w:r>
    </w:p>
    <w:p w14:paraId="2BDDD35D" w14:textId="77777777" w:rsidR="002B1FFE" w:rsidRPr="002B1FFE" w:rsidRDefault="002B1FFE" w:rsidP="002B1FF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Identify at least two advanced chart types that add analytical value.</w:t>
      </w:r>
    </w:p>
    <w:p w14:paraId="780269E1" w14:textId="77777777" w:rsidR="002B1FFE" w:rsidRPr="002B1FFE" w:rsidRDefault="002B1FFE" w:rsidP="002B1FF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Ensure they integrate well with the existing dashboard context.</w:t>
      </w:r>
    </w:p>
    <w:p w14:paraId="0FA4C770" w14:textId="77777777" w:rsidR="002B1FFE" w:rsidRPr="002B1FFE" w:rsidRDefault="002B1FFE" w:rsidP="002B1FF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Design and Integration of Calculated Fields</w:t>
      </w:r>
    </w:p>
    <w:p w14:paraId="3F83E057" w14:textId="77777777" w:rsidR="002B1FFE" w:rsidRPr="002B1FFE" w:rsidRDefault="002B1FFE" w:rsidP="002B1FF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Define new calculated metrics that provide deeper insight (e.g., performance flags, month-over-month change).</w:t>
      </w:r>
    </w:p>
    <w:p w14:paraId="41423C7A" w14:textId="77777777" w:rsidR="002B1FFE" w:rsidRPr="002B1FFE" w:rsidRDefault="002B1FFE" w:rsidP="002B1FF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Document the rationale and formula for each calculation.</w:t>
      </w:r>
    </w:p>
    <w:p w14:paraId="2516EA1D" w14:textId="77777777" w:rsidR="002B1FFE" w:rsidRPr="002B1FFE" w:rsidRDefault="002B1FFE" w:rsidP="002B1FF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 Layout and Documentation</w:t>
      </w:r>
    </w:p>
    <w:p w14:paraId="7B20338C" w14:textId="77777777" w:rsidR="002B1FFE" w:rsidRPr="002B1FFE" w:rsidRDefault="002B1FFE" w:rsidP="002B1FF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Plan how advanced charts will be laid out and integrated.</w:t>
      </w:r>
    </w:p>
    <w:p w14:paraId="1D6679F9" w14:textId="77777777" w:rsidR="002B1FFE" w:rsidRPr="002B1FFE" w:rsidRDefault="002B1FFE" w:rsidP="002B1FF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Describe interactions and how calculations influence interpretation.</w:t>
      </w:r>
    </w:p>
    <w:p w14:paraId="7F61FF86" w14:textId="77777777" w:rsidR="002B1FFE" w:rsidRPr="002B1FFE" w:rsidRDefault="002B1FFE" w:rsidP="002B1FF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Produce a comprehensive DOC file that explains technical choices and their impact.</w:t>
      </w:r>
    </w:p>
    <w:p w14:paraId="6D94AF1D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CF843A">
          <v:rect id="_x0000_i1026" style="width:0;height:1.5pt" o:hralign="center" o:hrstd="t" o:hr="t" fillcolor="#a0a0a0" stroked="f"/>
        </w:pict>
      </w:r>
    </w:p>
    <w:p w14:paraId="7C0EDA0D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  <w:t>2. Research and Selection of Advanced Visualizations</w:t>
      </w:r>
    </w:p>
    <w:p w14:paraId="60D021ED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lastRenderedPageBreak/>
        <w:t>Two advanced visualization techniques are selected for this task:</w:t>
      </w:r>
    </w:p>
    <w:p w14:paraId="2BB26F05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2.1 Dual-Axis Chart: Revenue and Discount Over Time</w:t>
      </w:r>
    </w:p>
    <w:p w14:paraId="7759D832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Chart Type: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Dual-axis combination chart (bar + line).</w:t>
      </w:r>
    </w:p>
    <w:p w14:paraId="4CC7FE02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</w:p>
    <w:p w14:paraId="2F6878B5" w14:textId="77777777" w:rsidR="002B1FFE" w:rsidRPr="002B1FFE" w:rsidRDefault="002B1FFE" w:rsidP="002B1F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Show </w:t>
      </w: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Revenue by Month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as bars.</w:t>
      </w:r>
    </w:p>
    <w:p w14:paraId="55EB7365" w14:textId="77777777" w:rsidR="002B1FFE" w:rsidRPr="002B1FFE" w:rsidRDefault="002B1FFE" w:rsidP="002B1F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Overlay </w:t>
      </w: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Avg Discount (%) by Month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as a line on a secondary axis.</w:t>
      </w:r>
    </w:p>
    <w:p w14:paraId="44B6DA02" w14:textId="77777777" w:rsidR="002B1FFE" w:rsidRPr="002B1FFE" w:rsidRDefault="002B1FFE" w:rsidP="002B1F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Enable the marketing manager to see whether higher revenue periods are associated with heavier discounting.</w:t>
      </w:r>
    </w:p>
    <w:p w14:paraId="35D66348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Why This Is Useful:</w:t>
      </w:r>
    </w:p>
    <w:p w14:paraId="7CAB91DA" w14:textId="77777777" w:rsidR="002B1FFE" w:rsidRPr="002B1FFE" w:rsidRDefault="002B1FFE" w:rsidP="002B1F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Reveals potential </w:t>
      </w: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dependency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D074A16" w14:textId="77777777" w:rsidR="002B1FFE" w:rsidRPr="002B1FFE" w:rsidRDefault="002B1FFE" w:rsidP="002B1FF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Are revenue peaks driven by deep discounts?</w:t>
      </w:r>
    </w:p>
    <w:p w14:paraId="7BB20B6D" w14:textId="77777777" w:rsidR="002B1FFE" w:rsidRPr="002B1FFE" w:rsidRDefault="002B1FFE" w:rsidP="002B1FF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Are there months with strong revenue but low discount (good quality growth)?</w:t>
      </w:r>
    </w:p>
    <w:p w14:paraId="786D41D7" w14:textId="77777777" w:rsidR="002B1FFE" w:rsidRPr="002B1FFE" w:rsidRDefault="002B1FFE" w:rsidP="002B1F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Helps evaluate pricing and promotion strategy over time.</w:t>
      </w:r>
    </w:p>
    <w:p w14:paraId="1283CF04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Design Details:</w:t>
      </w:r>
    </w:p>
    <w:p w14:paraId="65A9944F" w14:textId="77777777" w:rsidR="002B1FFE" w:rsidRPr="002B1FFE" w:rsidRDefault="002B1FFE" w:rsidP="002B1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X-axis: Month (from </w:t>
      </w:r>
      <w:r w:rsidRPr="002B1FFE">
        <w:rPr>
          <w:rFonts w:ascii="Courier New" w:eastAsia="Times New Roman" w:hAnsi="Courier New" w:cs="Courier New"/>
          <w:sz w:val="20"/>
        </w:rPr>
        <w:t>order_date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5AB7BF5" w14:textId="77777777" w:rsidR="002B1FFE" w:rsidRPr="002B1FFE" w:rsidRDefault="002B1FFE" w:rsidP="002B1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Left Y-axis (primary): Revenue (bars).</w:t>
      </w:r>
    </w:p>
    <w:p w14:paraId="0EBF3701" w14:textId="77777777" w:rsidR="002B1FFE" w:rsidRPr="002B1FFE" w:rsidRDefault="002B1FFE" w:rsidP="002B1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Right Y-axis (secondary): Avg Discount (%) (line).</w:t>
      </w:r>
    </w:p>
    <w:p w14:paraId="58ADE266" w14:textId="77777777" w:rsidR="002B1FFE" w:rsidRPr="002B1FFE" w:rsidRDefault="002B1FFE" w:rsidP="002B1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Color:</w:t>
      </w:r>
    </w:p>
    <w:p w14:paraId="21D3565F" w14:textId="77777777" w:rsidR="002B1FFE" w:rsidRPr="002B1FFE" w:rsidRDefault="002B1FFE" w:rsidP="002B1FF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Bars: a solid color (e.g., blue).</w:t>
      </w:r>
    </w:p>
    <w:p w14:paraId="43A542E4" w14:textId="77777777" w:rsidR="002B1FFE" w:rsidRPr="002B1FFE" w:rsidRDefault="002B1FFE" w:rsidP="002B1FF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Line: contrasting color (e.g., orange/red) to highlight discount trend.</w:t>
      </w:r>
    </w:p>
    <w:p w14:paraId="36041080" w14:textId="77777777" w:rsidR="002B1FFE" w:rsidRPr="002B1FFE" w:rsidRDefault="002B1FFE" w:rsidP="002B1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Tooltip:</w:t>
      </w:r>
    </w:p>
    <w:p w14:paraId="54F9D903" w14:textId="77777777" w:rsidR="002B1FFE" w:rsidRPr="002B1FFE" w:rsidRDefault="002B1FFE" w:rsidP="002B1FF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Month, Revenue, Avg Discount, Order Count, Avg Rating (optional).</w:t>
      </w:r>
    </w:p>
    <w:p w14:paraId="1007321E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104896">
          <v:rect id="_x0000_i1027" style="width:0;height:1.5pt" o:hralign="center" o:hrstd="t" o:hr="t" fillcolor="#a0a0a0" stroked="f"/>
        </w:pict>
      </w:r>
    </w:p>
    <w:p w14:paraId="7F1A5D32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2.2 Heat Map: Region × Product Category Performance</w:t>
      </w:r>
    </w:p>
    <w:p w14:paraId="31763F20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Chart Type: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Heat map (highlight table / tiled view).</w:t>
      </w:r>
    </w:p>
    <w:p w14:paraId="20608120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</w:p>
    <w:p w14:paraId="31465B94" w14:textId="77777777" w:rsidR="002B1FFE" w:rsidRPr="002B1FFE" w:rsidRDefault="002B1FFE" w:rsidP="002B1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Show performance across </w:t>
      </w: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Region × Product Category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combinations.</w:t>
      </w:r>
    </w:p>
    <w:p w14:paraId="73340405" w14:textId="77777777" w:rsidR="002B1FFE" w:rsidRPr="002B1FFE" w:rsidRDefault="002B1FFE" w:rsidP="002B1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color intensity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to represent a key metric, such as:</w:t>
      </w:r>
    </w:p>
    <w:p w14:paraId="2D8B2A0E" w14:textId="77777777" w:rsidR="002B1FFE" w:rsidRPr="002B1FFE" w:rsidRDefault="002B1FFE" w:rsidP="002B1FF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Avg Customer Rating, or</w:t>
      </w:r>
    </w:p>
    <w:p w14:paraId="4ED926D6" w14:textId="77777777" w:rsidR="002B1FFE" w:rsidRPr="002B1FFE" w:rsidRDefault="002B1FFE" w:rsidP="002B1FF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Avg Delivery Days, or</w:t>
      </w:r>
    </w:p>
    <w:p w14:paraId="7BB3D214" w14:textId="77777777" w:rsidR="002B1FFE" w:rsidRPr="002B1FFE" w:rsidRDefault="002B1FFE" w:rsidP="002B1FF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Avg Discount (%).</w:t>
      </w:r>
    </w:p>
    <w:p w14:paraId="3C8F5083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For this plan, we will use </w:t>
      </w: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Avg Customer Rating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as the primary color metric.</w:t>
      </w:r>
    </w:p>
    <w:p w14:paraId="6110862F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Why This Is Useful:</w:t>
      </w:r>
    </w:p>
    <w:p w14:paraId="51F895AF" w14:textId="77777777" w:rsidR="002B1FFE" w:rsidRPr="002B1FFE" w:rsidRDefault="002B1FFE" w:rsidP="002B1F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Quickly highlights which region–category combinations have:</w:t>
      </w:r>
    </w:p>
    <w:p w14:paraId="489347E5" w14:textId="77777777" w:rsidR="002B1FFE" w:rsidRPr="002B1FFE" w:rsidRDefault="002B1FFE" w:rsidP="002B1FF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High satisfaction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(darker green / strong color).</w:t>
      </w:r>
    </w:p>
    <w:p w14:paraId="5539F68E" w14:textId="77777777" w:rsidR="002B1FFE" w:rsidRPr="002B1FFE" w:rsidRDefault="002B1FFE" w:rsidP="002B1FF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Low satisfaction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(lighter or red-toned color).</w:t>
      </w:r>
    </w:p>
    <w:p w14:paraId="2BB481AD" w14:textId="77777777" w:rsidR="002B1FFE" w:rsidRPr="002B1FFE" w:rsidRDefault="002B1FFE" w:rsidP="002B1F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Makes it easy to spot problem areas that need operational or marketing attention.</w:t>
      </w:r>
    </w:p>
    <w:p w14:paraId="46DF8664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Design Details:</w:t>
      </w:r>
    </w:p>
    <w:p w14:paraId="08337B2E" w14:textId="77777777" w:rsidR="002B1FFE" w:rsidRPr="002B1FFE" w:rsidRDefault="002B1FFE" w:rsidP="002B1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Rows: Product Category.</w:t>
      </w:r>
    </w:p>
    <w:p w14:paraId="3A0946D0" w14:textId="77777777" w:rsidR="002B1FFE" w:rsidRPr="002B1FFE" w:rsidRDefault="002B1FFE" w:rsidP="002B1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Columns: Region.</w:t>
      </w:r>
    </w:p>
    <w:p w14:paraId="10EE6EC2" w14:textId="77777777" w:rsidR="002B1FFE" w:rsidRPr="002B1FFE" w:rsidRDefault="002B1FFE" w:rsidP="002B1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Color: Avg Customer Rating (continuous scale from low to high).</w:t>
      </w:r>
    </w:p>
    <w:p w14:paraId="261BD01C" w14:textId="77777777" w:rsidR="002B1FFE" w:rsidRPr="002B1FFE" w:rsidRDefault="002B1FFE" w:rsidP="002B1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Optional:</w:t>
      </w:r>
    </w:p>
    <w:p w14:paraId="140B8E87" w14:textId="77777777" w:rsidR="002B1FFE" w:rsidRPr="002B1FFE" w:rsidRDefault="002B1FFE" w:rsidP="002B1FF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Size or text labels inside cells to show:</w:t>
      </w:r>
    </w:p>
    <w:p w14:paraId="1A67880B" w14:textId="77777777" w:rsidR="002B1FFE" w:rsidRPr="002B1FFE" w:rsidRDefault="002B1FFE" w:rsidP="002B1FFE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Revenue</w:t>
      </w:r>
    </w:p>
    <w:p w14:paraId="10DACDEA" w14:textId="77777777" w:rsidR="002B1FFE" w:rsidRPr="002B1FFE" w:rsidRDefault="002B1FFE" w:rsidP="002B1FFE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Avg Delivery Days</w:t>
      </w:r>
    </w:p>
    <w:p w14:paraId="351A3B29" w14:textId="77777777" w:rsidR="002B1FFE" w:rsidRPr="002B1FFE" w:rsidRDefault="002B1FFE" w:rsidP="002B1FFE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Avg Discount</w:t>
      </w:r>
    </w:p>
    <w:p w14:paraId="4A5C73BA" w14:textId="77777777" w:rsidR="002B1FFE" w:rsidRPr="002B1FFE" w:rsidRDefault="002B1FFE" w:rsidP="002B1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Tooltip:</w:t>
      </w:r>
    </w:p>
    <w:p w14:paraId="57D08C9F" w14:textId="77777777" w:rsidR="002B1FFE" w:rsidRPr="002B1FFE" w:rsidRDefault="002B1FFE" w:rsidP="002B1FF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Region, Product Category, Revenue, Avg Discount, Avg Delivery Days, Avg Rating, Order Count.</w:t>
      </w:r>
    </w:p>
    <w:p w14:paraId="76AF98BC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BD8013">
          <v:rect id="_x0000_i1028" style="width:0;height:1.5pt" o:hralign="center" o:hrstd="t" o:hr="t" fillcolor="#a0a0a0" stroked="f"/>
        </w:pict>
      </w:r>
    </w:p>
    <w:p w14:paraId="4983507E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  <w:t>3. Calculated Fields and Table Calculations</w:t>
      </w:r>
    </w:p>
    <w:p w14:paraId="4DB3D6B4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This section defines the key calculated fields and table calculations that will be used to enhance the analysis.</w:t>
      </w:r>
    </w:p>
    <w:p w14:paraId="07408492" w14:textId="7EDCBEFB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3.1 Discount % (Average Discoun</w:t>
      </w:r>
      <w:r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t)</w:t>
      </w:r>
    </w:p>
    <w:p w14:paraId="512A8BF6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1FFE">
        <w:rPr>
          <w:rFonts w:ascii="Courier New" w:eastAsia="Times New Roman" w:hAnsi="Courier New" w:cs="Courier New"/>
          <w:sz w:val="20"/>
        </w:rPr>
        <w:t>Avg Discount %</w:t>
      </w:r>
    </w:p>
    <w:tbl>
      <w:tblPr>
        <w:tblStyle w:val="TableGrid"/>
        <w:tblpPr w:leftFromText="180" w:rightFromText="180" w:vertAnchor="text" w:horzAnchor="page" w:tblpX="3211" w:tblpY="267"/>
        <w:tblW w:w="0" w:type="auto"/>
        <w:tblLook w:val="04A0" w:firstRow="1" w:lastRow="0" w:firstColumn="1" w:lastColumn="0" w:noHBand="0" w:noVBand="1"/>
      </w:tblPr>
      <w:tblGrid>
        <w:gridCol w:w="3549"/>
      </w:tblGrid>
      <w:tr w:rsidR="002B1FFE" w14:paraId="1DBAB10E" w14:textId="77777777" w:rsidTr="00CB255E">
        <w:trPr>
          <w:trHeight w:val="317"/>
        </w:trPr>
        <w:tc>
          <w:tcPr>
            <w:tcW w:w="3549" w:type="dxa"/>
            <w:shd w:val="clear" w:color="auto" w:fill="767171" w:themeFill="background2" w:themeFillShade="80"/>
          </w:tcPr>
          <w:p w14:paraId="30C55781" w14:textId="77777777" w:rsidR="002B1FFE" w:rsidRDefault="002B1FFE" w:rsidP="002B1F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Text</w:t>
            </w:r>
          </w:p>
        </w:tc>
      </w:tr>
      <w:tr w:rsidR="002B1FFE" w14:paraId="4AB0B968" w14:textId="77777777" w:rsidTr="00CB255E">
        <w:trPr>
          <w:trHeight w:val="203"/>
        </w:trPr>
        <w:tc>
          <w:tcPr>
            <w:tcW w:w="3549" w:type="dxa"/>
            <w:vAlign w:val="bottom"/>
          </w:tcPr>
          <w:p w14:paraId="1E271A9D" w14:textId="77777777" w:rsidR="002B1FFE" w:rsidRPr="002B1FFE" w:rsidRDefault="002B1FF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AVG([discount])</w:t>
            </w:r>
          </w:p>
          <w:p w14:paraId="5D34B92C" w14:textId="77777777" w:rsidR="002B1FFE" w:rsidRDefault="002B1FF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urier New" w:eastAsia="Times New Roman" w:hAnsi="Courier New" w:cs="Courier New"/>
                <w:sz w:val="20"/>
              </w:rPr>
            </w:pPr>
          </w:p>
        </w:tc>
      </w:tr>
    </w:tbl>
    <w:p w14:paraId="58C74E3E" w14:textId="77777777" w:rsid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Formula: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32B6F81" w14:textId="6095FF39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61916F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Rationale:</w:t>
      </w:r>
    </w:p>
    <w:p w14:paraId="0E154CFB" w14:textId="77777777" w:rsidR="002B1FFE" w:rsidRPr="002B1FFE" w:rsidRDefault="002B1FFE" w:rsidP="002B1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Provides a simple view of how much discount is being given on average.</w:t>
      </w:r>
    </w:p>
    <w:p w14:paraId="6237041C" w14:textId="77777777" w:rsidR="002B1FFE" w:rsidRPr="002B1FFE" w:rsidRDefault="002B1FFE" w:rsidP="002B1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Used in the dual-axis chart to compare with revenue over time.</w:t>
      </w:r>
    </w:p>
    <w:p w14:paraId="73A59896" w14:textId="77777777" w:rsidR="002B1FFE" w:rsidRPr="002B1FFE" w:rsidRDefault="002B1FFE" w:rsidP="002B1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Helps identify periods or segments with heavy discounting.</w:t>
      </w:r>
    </w:p>
    <w:p w14:paraId="32DB9A58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Impact on Analysis:</w:t>
      </w:r>
    </w:p>
    <w:p w14:paraId="2DBCF285" w14:textId="77777777" w:rsidR="002B1FFE" w:rsidRPr="002B1FFE" w:rsidRDefault="002B1FFE" w:rsidP="002B1F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Enables the marketing manager to assess whether revenue growth is sustainable or discount-driven.</w:t>
      </w:r>
    </w:p>
    <w:p w14:paraId="44B095E8" w14:textId="77777777" w:rsidR="002B1FFE" w:rsidRPr="002B1FFE" w:rsidRDefault="002B1FFE" w:rsidP="002B1F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lastRenderedPageBreak/>
        <w:t>Supports pricing and promotion decisions.</w:t>
      </w:r>
    </w:p>
    <w:p w14:paraId="4573CAF5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E75415">
          <v:rect id="_x0000_i1029" style="width:0;height:1.5pt" o:hralign="center" o:hrstd="t" o:hr="t" fillcolor="#a0a0a0" stroked="f"/>
        </w:pict>
      </w:r>
    </w:p>
    <w:p w14:paraId="063E0581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3.2 Delivery Performance Flag</w:t>
      </w:r>
    </w:p>
    <w:p w14:paraId="1465D9F1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1FFE">
        <w:rPr>
          <w:rFonts w:ascii="Courier New" w:eastAsia="Times New Roman" w:hAnsi="Courier New" w:cs="Courier New"/>
          <w:sz w:val="20"/>
        </w:rPr>
        <w:t>Delivery Performance Flag</w:t>
      </w:r>
    </w:p>
    <w:p w14:paraId="2266AF3F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Formula (example):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70"/>
      </w:tblGrid>
      <w:tr w:rsidR="002B1FFE" w14:paraId="24220B22" w14:textId="77777777" w:rsidTr="002B1FFE">
        <w:trPr>
          <w:trHeight w:val="198"/>
        </w:trPr>
        <w:tc>
          <w:tcPr>
            <w:tcW w:w="5370" w:type="dxa"/>
            <w:shd w:val="clear" w:color="auto" w:fill="767171" w:themeFill="background2" w:themeFillShade="80"/>
          </w:tcPr>
          <w:p w14:paraId="6D0CEE62" w14:textId="5D712548" w:rsidR="002B1FFE" w:rsidRDefault="002B1FFE" w:rsidP="002B1F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Text</w:t>
            </w:r>
          </w:p>
        </w:tc>
      </w:tr>
      <w:tr w:rsidR="002B1FFE" w14:paraId="4B56F069" w14:textId="77777777" w:rsidTr="002B1FFE">
        <w:trPr>
          <w:trHeight w:val="774"/>
        </w:trPr>
        <w:tc>
          <w:tcPr>
            <w:tcW w:w="5370" w:type="dxa"/>
          </w:tcPr>
          <w:p w14:paraId="6D4B5CB1" w14:textId="77777777" w:rsidR="002B1FFE" w:rsidRPr="002B1FFE" w:rsidRDefault="002B1FFE" w:rsidP="002B1F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IF AVG([delivery_days]) &lt;= 4 THEN "Good"</w:t>
            </w:r>
          </w:p>
          <w:p w14:paraId="7F2FD80D" w14:textId="77777777" w:rsidR="002B1FFE" w:rsidRPr="002B1FFE" w:rsidRDefault="002B1FFE" w:rsidP="002B1F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ELSE "Poor"</w:t>
            </w:r>
          </w:p>
          <w:p w14:paraId="69805E56" w14:textId="77777777" w:rsidR="002B1FFE" w:rsidRPr="002B1FFE" w:rsidRDefault="002B1FFE" w:rsidP="002B1F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END</w:t>
            </w:r>
          </w:p>
          <w:p w14:paraId="4911CF9F" w14:textId="77777777" w:rsidR="002B1FFE" w:rsidRDefault="002B1FFE" w:rsidP="002B1F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</w:p>
        </w:tc>
      </w:tr>
    </w:tbl>
    <w:p w14:paraId="0134F322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i/>
          <w:iCs/>
          <w:sz w:val="24"/>
          <w:szCs w:val="24"/>
        </w:rPr>
        <w:t>(Threshold “4 days” can be adjusted based on business expectations.)</w:t>
      </w:r>
    </w:p>
    <w:p w14:paraId="676001AB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Rationale:</w:t>
      </w:r>
    </w:p>
    <w:p w14:paraId="692CDE4D" w14:textId="77777777" w:rsidR="002B1FFE" w:rsidRPr="002B1FFE" w:rsidRDefault="002B1FFE" w:rsidP="002B1FF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Converts a continuous metric (</w:t>
      </w:r>
      <w:r w:rsidRPr="002B1FFE">
        <w:rPr>
          <w:rFonts w:ascii="Courier New" w:eastAsia="Times New Roman" w:hAnsi="Courier New" w:cs="Courier New"/>
          <w:sz w:val="20"/>
        </w:rPr>
        <w:t>delivery_days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>) into a categorical performance indicator.</w:t>
      </w:r>
    </w:p>
    <w:p w14:paraId="79592BD3" w14:textId="77777777" w:rsidR="002B1FFE" w:rsidRPr="002B1FFE" w:rsidRDefault="002B1FFE" w:rsidP="002B1FF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Makes it easier to filter and highlight “poor” delivery performance areas.</w:t>
      </w:r>
    </w:p>
    <w:p w14:paraId="6CF34785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Impact on Analysis:</w:t>
      </w:r>
    </w:p>
    <w:p w14:paraId="4C0B9B8C" w14:textId="77777777" w:rsidR="002B1FFE" w:rsidRPr="002B1FFE" w:rsidRDefault="002B1FFE" w:rsidP="002B1F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Can be used as a filter: show only “Poor” delivery performance region–category combinations.</w:t>
      </w:r>
    </w:p>
    <w:p w14:paraId="745B28CA" w14:textId="77777777" w:rsidR="002B1FFE" w:rsidRPr="002B1FFE" w:rsidRDefault="002B1FFE" w:rsidP="002B1F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Can drive color coding in charts (e.g., red for Poor, green for Good).</w:t>
      </w:r>
    </w:p>
    <w:p w14:paraId="6838D2E7" w14:textId="77777777" w:rsidR="002B1FFE" w:rsidRPr="002B1FFE" w:rsidRDefault="002B1FFE" w:rsidP="002B1F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Simplifies communication with non-technical stakeholders.</w:t>
      </w:r>
    </w:p>
    <w:p w14:paraId="66FFDC21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919B26">
          <v:rect id="_x0000_i1030" style="width:0;height:1.5pt" o:hralign="center" o:hrstd="t" o:hr="t" fillcolor="#a0a0a0" stroked="f"/>
        </w:pict>
      </w:r>
    </w:p>
    <w:p w14:paraId="00ACD3A1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3.3 Month-over-Month Revenue % Change</w:t>
      </w:r>
    </w:p>
    <w:p w14:paraId="013F81B6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1FFE">
        <w:rPr>
          <w:rFonts w:ascii="Courier New" w:eastAsia="Times New Roman" w:hAnsi="Courier New" w:cs="Courier New"/>
          <w:sz w:val="20"/>
        </w:rPr>
        <w:t>MoM Revenue % Change</w:t>
      </w:r>
    </w:p>
    <w:tbl>
      <w:tblPr>
        <w:tblStyle w:val="TableGrid"/>
        <w:tblpPr w:leftFromText="180" w:rightFromText="180" w:vertAnchor="text" w:horzAnchor="margin" w:tblpXSpec="center" w:tblpY="715"/>
        <w:tblW w:w="0" w:type="auto"/>
        <w:tblLook w:val="04A0" w:firstRow="1" w:lastRow="0" w:firstColumn="1" w:lastColumn="0" w:noHBand="0" w:noVBand="1"/>
      </w:tblPr>
      <w:tblGrid>
        <w:gridCol w:w="7529"/>
      </w:tblGrid>
      <w:tr w:rsidR="00CB255E" w14:paraId="2A9B30DD" w14:textId="77777777" w:rsidTr="00CB255E">
        <w:trPr>
          <w:trHeight w:val="74"/>
        </w:trPr>
        <w:tc>
          <w:tcPr>
            <w:tcW w:w="7529" w:type="dxa"/>
            <w:shd w:val="clear" w:color="auto" w:fill="767171" w:themeFill="background2" w:themeFillShade="80"/>
          </w:tcPr>
          <w:p w14:paraId="54570D04" w14:textId="77777777" w:rsidR="00CB255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Text</w:t>
            </w:r>
          </w:p>
        </w:tc>
      </w:tr>
      <w:tr w:rsidR="00CB255E" w14:paraId="2308F670" w14:textId="77777777" w:rsidTr="00CB255E">
        <w:trPr>
          <w:trHeight w:val="495"/>
        </w:trPr>
        <w:tc>
          <w:tcPr>
            <w:tcW w:w="7529" w:type="dxa"/>
          </w:tcPr>
          <w:p w14:paraId="1EAE6308" w14:textId="77777777" w:rsidR="00CB255E" w:rsidRPr="002B1FF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// Monthly Revenue</w:t>
            </w:r>
          </w:p>
          <w:p w14:paraId="2319EE18" w14:textId="77777777" w:rsidR="00CB255E" w:rsidRPr="002B1FF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{FIXED DATETRUNC ('month', [order_date]): SUM([revenue])}</w:t>
            </w:r>
          </w:p>
          <w:p w14:paraId="34CFCD6F" w14:textId="77777777" w:rsidR="00CB255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</w:p>
        </w:tc>
      </w:tr>
    </w:tbl>
    <w:p w14:paraId="7C5FDBC3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Base Calculation: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br/>
        <w:t>First, create a calculated field for monthly revenue:</w:t>
      </w:r>
    </w:p>
    <w:p w14:paraId="047EB978" w14:textId="105B3B84" w:rsidR="002B1FFE" w:rsidRPr="002B1FFE" w:rsidRDefault="002B1FFE" w:rsidP="002B1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14:paraId="03E014FF" w14:textId="77777777" w:rsidR="00CB255E" w:rsidRDefault="00CB255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73F534" w14:textId="77777777" w:rsidR="00CB255E" w:rsidRDefault="00CB255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3804E4" w14:textId="72B8C53F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Then, use a table calculation for MoM % change:</w:t>
      </w:r>
    </w:p>
    <w:tbl>
      <w:tblPr>
        <w:tblStyle w:val="TableGrid"/>
        <w:tblpPr w:leftFromText="180" w:rightFromText="180" w:vertAnchor="text" w:horzAnchor="margin" w:tblpXSpec="center" w:tblpY="6"/>
        <w:tblW w:w="0" w:type="auto"/>
        <w:tblLook w:val="04A0" w:firstRow="1" w:lastRow="0" w:firstColumn="1" w:lastColumn="0" w:noHBand="0" w:noVBand="1"/>
      </w:tblPr>
      <w:tblGrid>
        <w:gridCol w:w="8870"/>
      </w:tblGrid>
      <w:tr w:rsidR="00CB255E" w14:paraId="7675FA18" w14:textId="77777777" w:rsidTr="00CB255E">
        <w:trPr>
          <w:trHeight w:val="59"/>
        </w:trPr>
        <w:tc>
          <w:tcPr>
            <w:tcW w:w="8870" w:type="dxa"/>
            <w:shd w:val="clear" w:color="auto" w:fill="767171" w:themeFill="background2" w:themeFillShade="80"/>
          </w:tcPr>
          <w:p w14:paraId="08EFE6CD" w14:textId="77777777" w:rsidR="00CB255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lastRenderedPageBreak/>
              <w:t>Text</w:t>
            </w:r>
          </w:p>
        </w:tc>
      </w:tr>
      <w:tr w:rsidR="00CB255E" w14:paraId="531954C8" w14:textId="77777777" w:rsidTr="00CB255E">
        <w:trPr>
          <w:trHeight w:val="396"/>
        </w:trPr>
        <w:tc>
          <w:tcPr>
            <w:tcW w:w="8870" w:type="dxa"/>
          </w:tcPr>
          <w:p w14:paraId="270870B1" w14:textId="77777777" w:rsidR="00CB255E" w:rsidRPr="002B1FF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// MoM Revenue % Change (table calc)</w:t>
            </w:r>
          </w:p>
          <w:p w14:paraId="09D80774" w14:textId="77777777" w:rsidR="00CB255E" w:rsidRPr="002B1FF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 xml:space="preserve">(ZN(SUM([revenue])) - LOOKUP(ZN(SUM([revenue])), -1)) </w:t>
            </w:r>
          </w:p>
          <w:p w14:paraId="3FA295C1" w14:textId="77777777" w:rsidR="00CB255E" w:rsidRPr="002B1FF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/</w:t>
            </w:r>
            <w:r w:rsidRPr="00CB255E">
              <w:rPr>
                <w:rFonts w:ascii="Courier New" w:eastAsia="Times New Roman" w:hAnsi="Courier New" w:cs="Courier New"/>
                <w:sz w:val="20"/>
              </w:rPr>
              <w:t xml:space="preserve"> </w:t>
            </w:r>
            <w:r w:rsidRPr="002B1FFE">
              <w:rPr>
                <w:rFonts w:ascii="Courier New" w:eastAsia="Times New Roman" w:hAnsi="Courier New" w:cs="Courier New"/>
                <w:sz w:val="20"/>
              </w:rPr>
              <w:t>ABS(LOOKUP(ZN(SUM([revenue])), -1))</w:t>
            </w:r>
          </w:p>
          <w:p w14:paraId="5B57D1D2" w14:textId="77777777" w:rsidR="00CB255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</w:p>
        </w:tc>
      </w:tr>
    </w:tbl>
    <w:p w14:paraId="798EB4BE" w14:textId="77777777" w:rsidR="00CB255E" w:rsidRDefault="00CB255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8F7A79" w14:textId="2E973310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Set the computation to compute using </w:t>
      </w: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Table (Across)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Pane (Across)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depending on the view.</w:t>
      </w:r>
    </w:p>
    <w:p w14:paraId="6D5A6279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Rationale:</w:t>
      </w:r>
    </w:p>
    <w:p w14:paraId="3F80B92A" w14:textId="77777777" w:rsidR="002B1FFE" w:rsidRPr="002B1FFE" w:rsidRDefault="002B1FFE" w:rsidP="002B1F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Shows how revenue is changing month over month in percentage terms.</w:t>
      </w:r>
    </w:p>
    <w:p w14:paraId="484C47D0" w14:textId="77777777" w:rsidR="002B1FFE" w:rsidRPr="002B1FFE" w:rsidRDefault="002B1FFE" w:rsidP="002B1F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Highlights growth or decline patterns more clearly than raw revenue alone.</w:t>
      </w:r>
    </w:p>
    <w:p w14:paraId="316BE250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Impact on Analysis:</w:t>
      </w:r>
    </w:p>
    <w:p w14:paraId="12D5D22F" w14:textId="77777777" w:rsidR="002B1FFE" w:rsidRPr="002B1FFE" w:rsidRDefault="002B1FFE" w:rsidP="002B1F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Can be added as a tooltip or label in the dual-axis chart.</w:t>
      </w:r>
    </w:p>
    <w:p w14:paraId="2FED149D" w14:textId="77777777" w:rsidR="002B1FFE" w:rsidRPr="002B1FFE" w:rsidRDefault="002B1FFE" w:rsidP="002B1F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Helps identify sudden drops or spikes in revenue.</w:t>
      </w:r>
    </w:p>
    <w:p w14:paraId="353CA613" w14:textId="77777777" w:rsidR="002B1FFE" w:rsidRPr="002B1FFE" w:rsidRDefault="002B1FFE" w:rsidP="002B1F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Supports more dynamic storytelling (e.g., “Revenue grew by 12% MoM in June”).</w:t>
      </w:r>
    </w:p>
    <w:p w14:paraId="72BBF4FA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F9BB7A">
          <v:rect id="_x0000_i1031" style="width:0;height:1.5pt" o:hralign="center" o:hrstd="t" o:hr="t" fillcolor="#a0a0a0" stroked="f"/>
        </w:pict>
      </w:r>
    </w:p>
    <w:p w14:paraId="2FB1FF00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3.4 (Optional) Profit and Margin (If Cost Data Is Added Later)</w:t>
      </w:r>
    </w:p>
    <w:p w14:paraId="5A90774B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If a </w:t>
      </w:r>
      <w:r w:rsidRPr="002B1FFE">
        <w:rPr>
          <w:rFonts w:ascii="Courier New" w:eastAsia="Times New Roman" w:hAnsi="Courier New" w:cs="Courier New"/>
          <w:sz w:val="20"/>
        </w:rPr>
        <w:t>cost_per_unit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field is added in the future, you can define:</w:t>
      </w:r>
    </w:p>
    <w:p w14:paraId="7C8904DC" w14:textId="77777777" w:rsidR="00CB255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Profit:</w:t>
      </w:r>
    </w:p>
    <w:tbl>
      <w:tblPr>
        <w:tblStyle w:val="TableGrid"/>
        <w:tblpPr w:leftFromText="180" w:rightFromText="180" w:vertAnchor="text" w:horzAnchor="margin" w:tblpXSpec="center" w:tblpY="6"/>
        <w:tblW w:w="0" w:type="auto"/>
        <w:tblLook w:val="04A0" w:firstRow="1" w:lastRow="0" w:firstColumn="1" w:lastColumn="0" w:noHBand="0" w:noVBand="1"/>
      </w:tblPr>
      <w:tblGrid>
        <w:gridCol w:w="8870"/>
      </w:tblGrid>
      <w:tr w:rsidR="00CB255E" w14:paraId="37708CB8" w14:textId="77777777" w:rsidTr="00F82668">
        <w:trPr>
          <w:trHeight w:val="59"/>
        </w:trPr>
        <w:tc>
          <w:tcPr>
            <w:tcW w:w="8870" w:type="dxa"/>
            <w:shd w:val="clear" w:color="auto" w:fill="767171" w:themeFill="background2" w:themeFillShade="80"/>
          </w:tcPr>
          <w:p w14:paraId="2F8C60F6" w14:textId="77777777" w:rsidR="00CB255E" w:rsidRDefault="00CB255E" w:rsidP="00F8266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Text</w:t>
            </w:r>
          </w:p>
        </w:tc>
      </w:tr>
      <w:tr w:rsidR="00CB255E" w14:paraId="7102B00F" w14:textId="77777777" w:rsidTr="00F82668">
        <w:trPr>
          <w:trHeight w:val="396"/>
        </w:trPr>
        <w:tc>
          <w:tcPr>
            <w:tcW w:w="8870" w:type="dxa"/>
          </w:tcPr>
          <w:p w14:paraId="09432C2F" w14:textId="5B044ADB" w:rsidR="00CB255E" w:rsidRDefault="00CB255E" w:rsidP="00CB255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SUM(([unit_price] - [cost_per_unit]) * [quantity])</w:t>
            </w:r>
          </w:p>
        </w:tc>
      </w:tr>
    </w:tbl>
    <w:p w14:paraId="147FB0C7" w14:textId="05643F0C" w:rsidR="002B1FFE" w:rsidRPr="002B1FFE" w:rsidRDefault="002B1FFE" w:rsidP="002B1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14:paraId="6EEADE4C" w14:textId="77777777" w:rsidR="00CB255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Margin %:</w:t>
      </w:r>
    </w:p>
    <w:tbl>
      <w:tblPr>
        <w:tblStyle w:val="TableGrid"/>
        <w:tblpPr w:leftFromText="180" w:rightFromText="180" w:vertAnchor="text" w:horzAnchor="margin" w:tblpXSpec="center" w:tblpY="6"/>
        <w:tblW w:w="0" w:type="auto"/>
        <w:tblLook w:val="04A0" w:firstRow="1" w:lastRow="0" w:firstColumn="1" w:lastColumn="0" w:noHBand="0" w:noVBand="1"/>
      </w:tblPr>
      <w:tblGrid>
        <w:gridCol w:w="8870"/>
      </w:tblGrid>
      <w:tr w:rsidR="00CB255E" w14:paraId="2FFFA2A0" w14:textId="77777777" w:rsidTr="00F82668">
        <w:trPr>
          <w:trHeight w:val="59"/>
        </w:trPr>
        <w:tc>
          <w:tcPr>
            <w:tcW w:w="8870" w:type="dxa"/>
            <w:shd w:val="clear" w:color="auto" w:fill="767171" w:themeFill="background2" w:themeFillShade="80"/>
          </w:tcPr>
          <w:p w14:paraId="435F0996" w14:textId="77777777" w:rsidR="00CB255E" w:rsidRDefault="00CB255E" w:rsidP="00F8266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Text</w:t>
            </w:r>
          </w:p>
        </w:tc>
      </w:tr>
      <w:tr w:rsidR="00CB255E" w14:paraId="333DFC0E" w14:textId="77777777" w:rsidTr="00F82668">
        <w:trPr>
          <w:trHeight w:val="396"/>
        </w:trPr>
        <w:tc>
          <w:tcPr>
            <w:tcW w:w="8870" w:type="dxa"/>
          </w:tcPr>
          <w:p w14:paraId="7D0E9383" w14:textId="22FEB26C" w:rsidR="00CB255E" w:rsidRDefault="00CB255E" w:rsidP="00F8266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</w:rPr>
            </w:pPr>
            <w:r w:rsidRPr="002B1FFE">
              <w:rPr>
                <w:rFonts w:ascii="Courier New" w:eastAsia="Times New Roman" w:hAnsi="Courier New" w:cs="Courier New"/>
                <w:sz w:val="20"/>
              </w:rPr>
              <w:t>SUM(([unit_price] - [cost_per_unit]) * [quantity])/ SUM([unit_price] * [quantity</w:t>
            </w:r>
            <w:r>
              <w:rPr>
                <w:rFonts w:ascii="Courier New" w:eastAsia="Times New Roman" w:hAnsi="Courier New" w:cs="Courier New"/>
                <w:sz w:val="20"/>
              </w:rPr>
              <w:t>]}</w:t>
            </w:r>
          </w:p>
        </w:tc>
      </w:tr>
    </w:tbl>
    <w:p w14:paraId="766959CA" w14:textId="2A67E5E2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FA81F1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For now, these are noted as </w:t>
      </w: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future enhancements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if cost data becomes available.</w:t>
      </w:r>
    </w:p>
    <w:p w14:paraId="2057C4E2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E99F36A">
          <v:rect id="_x0000_i1032" style="width:0;height:1.5pt" o:hralign="center" o:hrstd="t" o:hr="t" fillcolor="#a0a0a0" stroked="f"/>
        </w:pict>
      </w:r>
    </w:p>
    <w:p w14:paraId="479E1D3F" w14:textId="77777777" w:rsidR="00CB255E" w:rsidRDefault="00CB255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228CCC5" w14:textId="75408794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  <w:t>4. Dashboard Layout and Integration Plan</w:t>
      </w:r>
    </w:p>
    <w:p w14:paraId="52448405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lastRenderedPageBreak/>
        <w:t>This section outlines how the advanced visualizations will be integrated into a dashboard context.</w:t>
      </w:r>
    </w:p>
    <w:p w14:paraId="2989A795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4.1 Dashboard Structure</w:t>
      </w:r>
    </w:p>
    <w:p w14:paraId="20EECAF5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The advanced charts will be part of an enhanced version of the Week 2/3 dashboard. The layout will include:</w:t>
      </w:r>
    </w:p>
    <w:p w14:paraId="03ECEBF4" w14:textId="77777777" w:rsidR="002B1FFE" w:rsidRPr="002B1FFE" w:rsidRDefault="002B1FFE" w:rsidP="002B1F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Header &amp; Global Filters</w:t>
      </w:r>
    </w:p>
    <w:p w14:paraId="3324A60A" w14:textId="77777777" w:rsidR="002B1FFE" w:rsidRP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Title: “Sales Performance &amp; Growth Opportunities – Advanced Analytics”</w:t>
      </w:r>
    </w:p>
    <w:p w14:paraId="2002A287" w14:textId="77777777" w:rsidR="002B1FFE" w:rsidRP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Filters:</w:t>
      </w:r>
    </w:p>
    <w:p w14:paraId="2021E72B" w14:textId="77777777" w:rsidR="002B1FFE" w:rsidRPr="002B1FFE" w:rsidRDefault="002B1FFE" w:rsidP="002B1FFE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Relative date (Last 3/6/12 months, YTD)</w:t>
      </w:r>
    </w:p>
    <w:p w14:paraId="4FAE1318" w14:textId="77777777" w:rsidR="002B1FFE" w:rsidRPr="002B1FFE" w:rsidRDefault="002B1FFE" w:rsidP="002B1FFE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Region (multi-select)</w:t>
      </w:r>
    </w:p>
    <w:p w14:paraId="641F5B94" w14:textId="77777777" w:rsidR="002B1FFE" w:rsidRPr="002B1FFE" w:rsidRDefault="002B1FFE" w:rsidP="002B1FFE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Product Category (multi-select)</w:t>
      </w:r>
    </w:p>
    <w:p w14:paraId="22093122" w14:textId="3FEC345B" w:rsidR="002B1FFE" w:rsidRDefault="002B1FFE" w:rsidP="002B1FFE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Payment Method (multi-select)</w:t>
      </w:r>
    </w:p>
    <w:p w14:paraId="63A1641E" w14:textId="77777777" w:rsidR="00CB255E" w:rsidRPr="002B1FFE" w:rsidRDefault="00CB255E" w:rsidP="00CB255E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55AE9C33" w14:textId="77777777" w:rsidR="002B1FFE" w:rsidRPr="002B1FFE" w:rsidRDefault="002B1FFE" w:rsidP="002B1F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KPI Summary (Optional in This View)</w:t>
      </w:r>
    </w:p>
    <w:p w14:paraId="26AB28DF" w14:textId="77777777" w:rsidR="002B1FFE" w:rsidRP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Total Revenue</w:t>
      </w:r>
    </w:p>
    <w:p w14:paraId="0F4BAC69" w14:textId="77777777" w:rsidR="002B1FFE" w:rsidRP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Avg Order Value</w:t>
      </w:r>
    </w:p>
    <w:p w14:paraId="6521F0DD" w14:textId="77777777" w:rsidR="002B1FFE" w:rsidRP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Avg Discount</w:t>
      </w:r>
    </w:p>
    <w:p w14:paraId="62223B61" w14:textId="77777777" w:rsidR="002B1FFE" w:rsidRP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Avg Delivery Days</w:t>
      </w:r>
    </w:p>
    <w:p w14:paraId="564CE40F" w14:textId="418AC3AA" w:rsid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Avg Customer Rating</w:t>
      </w:r>
    </w:p>
    <w:p w14:paraId="038138C3" w14:textId="77777777" w:rsidR="00CB255E" w:rsidRPr="002B1FFE" w:rsidRDefault="00CB255E" w:rsidP="00CB255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ED5FBE6" w14:textId="77777777" w:rsidR="002B1FFE" w:rsidRPr="002B1FFE" w:rsidRDefault="002B1FFE" w:rsidP="002B1F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Dual-Axis Chart: Revenue + Avg Discount Over Time</w:t>
      </w:r>
    </w:p>
    <w:p w14:paraId="522D8856" w14:textId="77777777" w:rsidR="002B1FFE" w:rsidRP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Full-width chart below KPIs.</w:t>
      </w:r>
    </w:p>
    <w:p w14:paraId="37D426A8" w14:textId="0F6B48D1" w:rsid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Serves as the primary time-based insight.</w:t>
      </w:r>
    </w:p>
    <w:p w14:paraId="21D52157" w14:textId="77777777" w:rsidR="00CB255E" w:rsidRPr="002B1FFE" w:rsidRDefault="00CB255E" w:rsidP="00CB255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0DBC595" w14:textId="77777777" w:rsidR="002B1FFE" w:rsidRPr="002B1FFE" w:rsidRDefault="002B1FFE" w:rsidP="002B1F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Heat Map: Region × Product Category (Avg Rating)</w:t>
      </w:r>
    </w:p>
    <w:p w14:paraId="6A37DB10" w14:textId="77777777" w:rsidR="002B1FFE" w:rsidRP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Placed below the dual-axis chart.</w:t>
      </w:r>
    </w:p>
    <w:p w14:paraId="7BDBF144" w14:textId="086CCEEA" w:rsid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Provides a quick “performance map” across segments.</w:t>
      </w:r>
    </w:p>
    <w:p w14:paraId="514AA559" w14:textId="77777777" w:rsidR="00CB255E" w:rsidRPr="002B1FFE" w:rsidRDefault="00CB255E" w:rsidP="00CB255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FC3B297" w14:textId="77777777" w:rsidR="002B1FFE" w:rsidRPr="002B1FFE" w:rsidRDefault="002B1FFE" w:rsidP="002B1F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Supporting Views (Optional)</w:t>
      </w:r>
    </w:p>
    <w:p w14:paraId="51A7327B" w14:textId="77777777" w:rsidR="002B1FFE" w:rsidRP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Detail table with Delivery Performance Flag.</w:t>
      </w:r>
    </w:p>
    <w:p w14:paraId="16487A8B" w14:textId="112B01B6" w:rsidR="002B1FFE" w:rsidRDefault="002B1FFE" w:rsidP="002B1FF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Bar charts for revenue by region/category (from earlier weeks).</w:t>
      </w:r>
    </w:p>
    <w:p w14:paraId="39ED6AD3" w14:textId="0653ACD4" w:rsidR="009C0F4E" w:rsidRPr="009C0F4E" w:rsidRDefault="009C0F4E" w:rsidP="009C0F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0F4E">
        <w:rPr>
          <w:rFonts w:ascii="Times New Roman" w:eastAsia="Times New Roman" w:hAnsi="Times New Roman" w:cs="Times New Roman"/>
          <w:sz w:val="24"/>
          <w:szCs w:val="24"/>
        </w:rPr>
        <w:lastRenderedPageBreak/>
        <w:t>The figure above illustrates the planned arrangement of visualizations described above. The dual-axis chart occupies the top full-width band, followed by the heat map, with supporting views and detail tables below.</w: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5D3B4350" wp14:editId="685D3772">
            <wp:simplePos x="0" y="0"/>
            <wp:positionH relativeFrom="margin">
              <wp:align>right</wp:align>
            </wp:positionH>
            <wp:positionV relativeFrom="paragraph">
              <wp:posOffset>146050</wp:posOffset>
            </wp:positionV>
            <wp:extent cx="5943600" cy="3962400"/>
            <wp:effectExtent l="0" t="0" r="0" b="0"/>
            <wp:wrapTight wrapText="bothSides">
              <wp:wrapPolygon edited="0">
                <wp:start x="0" y="0"/>
                <wp:lineTo x="0" y="21496"/>
                <wp:lineTo x="21531" y="21496"/>
                <wp:lineTo x="2153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91E283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1BF6E9">
          <v:rect id="_x0000_i1033" style="width:0;height:1.5pt" o:hralign="center" o:hrstd="t" o:hr="t" fillcolor="#a0a0a0" stroked="f"/>
        </w:pict>
      </w:r>
    </w:p>
    <w:p w14:paraId="78ABA862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4.2 Interaction Between Visualizations</w:t>
      </w:r>
    </w:p>
    <w:p w14:paraId="6C67ADE9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Interactions:</w:t>
      </w:r>
    </w:p>
    <w:p w14:paraId="6087BCA7" w14:textId="77777777" w:rsidR="002B1FFE" w:rsidRPr="002B1FFE" w:rsidRDefault="002B1FFE" w:rsidP="002B1F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Global Filters:</w:t>
      </w:r>
    </w:p>
    <w:p w14:paraId="525D39FE" w14:textId="37B625F8" w:rsidR="002B1FFE" w:rsidRDefault="002B1FFE" w:rsidP="002B1FF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Apply to all views (dual-axis chart, heat map, tables).</w:t>
      </w:r>
    </w:p>
    <w:p w14:paraId="61DB5E61" w14:textId="77777777" w:rsidR="00CB255E" w:rsidRPr="002B1FFE" w:rsidRDefault="00CB255E" w:rsidP="00CB255E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5D86B19E" w14:textId="77777777" w:rsidR="002B1FFE" w:rsidRPr="002B1FFE" w:rsidRDefault="002B1FFE" w:rsidP="002B1F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Click on Heat Map Cell:</w:t>
      </w:r>
    </w:p>
    <w:p w14:paraId="1358ED44" w14:textId="77777777" w:rsidR="002B1FFE" w:rsidRPr="002B1FFE" w:rsidRDefault="002B1FFE" w:rsidP="002B1FF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Filters the dual-axis chart and any detail tables to the selected Region × Product Category.</w:t>
      </w:r>
    </w:p>
    <w:p w14:paraId="55930EA3" w14:textId="37C08D6D" w:rsidR="002B1FFE" w:rsidRDefault="002B1FFE" w:rsidP="002B1FF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Helps answer: “How do revenue and discount trends look for this specific combination?”</w:t>
      </w:r>
    </w:p>
    <w:p w14:paraId="70FE4E6F" w14:textId="77777777" w:rsidR="00CB255E" w:rsidRPr="002B1FFE" w:rsidRDefault="00CB255E" w:rsidP="00CB255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5A56141" w14:textId="77777777" w:rsidR="002B1FFE" w:rsidRPr="002B1FFE" w:rsidRDefault="002B1FFE" w:rsidP="002B1F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Hover on Dual-Axis Chart:</w:t>
      </w:r>
    </w:p>
    <w:p w14:paraId="3490AC84" w14:textId="6713EF3C" w:rsidR="002B1FFE" w:rsidRDefault="002B1FFE" w:rsidP="002B1FF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Tooltip shows: Month, Revenue, Avg Discount, MoM Revenue % Change, Order Count, Avg Rating.</w:t>
      </w:r>
    </w:p>
    <w:p w14:paraId="02CDB4D5" w14:textId="77777777" w:rsidR="00CB255E" w:rsidRPr="002B1FFE" w:rsidRDefault="00CB255E" w:rsidP="00CB255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D371CBF" w14:textId="77777777" w:rsidR="002B1FFE" w:rsidRPr="002B1FFE" w:rsidRDefault="002B1FFE" w:rsidP="002B1F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Delivery Performance Flag Filter:</w:t>
      </w:r>
    </w:p>
    <w:p w14:paraId="3656883B" w14:textId="77777777" w:rsidR="002B1FFE" w:rsidRPr="002B1FFE" w:rsidRDefault="002B1FFE" w:rsidP="002B1FF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 quick filter to show only “Poor” delivery performance combinations in the heat map and table.</w:t>
      </w:r>
    </w:p>
    <w:p w14:paraId="30B505CB" w14:textId="77777777" w:rsidR="002B1FFE" w:rsidRPr="002B1FFE" w:rsidRDefault="002B1FFE" w:rsidP="002B1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Narrative Support:</w:t>
      </w:r>
    </w:p>
    <w:p w14:paraId="2BAC05BA" w14:textId="77777777" w:rsidR="002B1FFE" w:rsidRPr="002B1FFE" w:rsidRDefault="002B1FFE" w:rsidP="002B1F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Text captions or dashboard titles will explain:</w:t>
      </w:r>
    </w:p>
    <w:p w14:paraId="01648744" w14:textId="77777777" w:rsidR="002B1FFE" w:rsidRPr="002B1FFE" w:rsidRDefault="002B1FFE" w:rsidP="002B1FF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Why dual-axis is used (to compare revenue and discount trends).</w:t>
      </w:r>
    </w:p>
    <w:p w14:paraId="08A5F540" w14:textId="77777777" w:rsidR="002B1FFE" w:rsidRPr="002B1FFE" w:rsidRDefault="002B1FFE" w:rsidP="002B1FF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How to interpret the heat map (color = Avg Rating, darker = better).</w:t>
      </w:r>
    </w:p>
    <w:p w14:paraId="61BE5EE8" w14:textId="77777777" w:rsidR="002B1FFE" w:rsidRPr="002B1FFE" w:rsidRDefault="002B1FFE" w:rsidP="002B1FF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How calculated fields like </w:t>
      </w:r>
      <w:r w:rsidRPr="002B1FFE">
        <w:rPr>
          <w:rFonts w:ascii="Courier New" w:eastAsia="Times New Roman" w:hAnsi="Courier New" w:cs="Courier New"/>
          <w:sz w:val="20"/>
        </w:rPr>
        <w:t>Delivery Performance Flag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simplify decision-making.</w:t>
      </w:r>
    </w:p>
    <w:p w14:paraId="5F4BDAA2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DC1479">
          <v:rect id="_x0000_i1034" style="width:0;height:1.5pt" o:hralign="center" o:hrstd="t" o:hr="t" fillcolor="#a0a0a0" stroked="f"/>
        </w:pict>
      </w:r>
    </w:p>
    <w:p w14:paraId="7C0F7408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8"/>
          <w:szCs w:val="28"/>
        </w:rPr>
        <w:t>5. Design Rationale and Intended Impact</w:t>
      </w:r>
    </w:p>
    <w:p w14:paraId="77E3486B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5.1 Innovative Application of Advanced Charting Techniques</w:t>
      </w:r>
    </w:p>
    <w:p w14:paraId="655E3844" w14:textId="77777777" w:rsidR="002B1FFE" w:rsidRPr="002B1FFE" w:rsidRDefault="002B1FFE" w:rsidP="002B1FF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Dual-axis chart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combines volume (revenue) and pricing behavior (discount) in one view, revealing relationships that separate charts would hide.</w:t>
      </w:r>
    </w:p>
    <w:p w14:paraId="6AA16B3B" w14:textId="77777777" w:rsidR="002B1FFE" w:rsidRPr="002B1FFE" w:rsidRDefault="002B1FFE" w:rsidP="002B1FF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Heat map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transforms a traditional crosstab into an intuitive visual performance map, allowing quick identification of high/low satisfaction areas.</w:t>
      </w:r>
    </w:p>
    <w:p w14:paraId="4D9BB12A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5.2 Clarity and Correctness of Calculated Fields</w:t>
      </w:r>
    </w:p>
    <w:p w14:paraId="68E88653" w14:textId="77777777" w:rsidR="002B1FFE" w:rsidRPr="002B1FFE" w:rsidRDefault="002B1FFE" w:rsidP="002B1FF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All calculated fields are clearly defined with formulas and rationale.</w:t>
      </w:r>
    </w:p>
    <w:p w14:paraId="3B7617D6" w14:textId="77777777" w:rsidR="002B1FFE" w:rsidRPr="002B1FFE" w:rsidRDefault="002B1FFE" w:rsidP="002B1FF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Avg Discount %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directly supports the dual-axis chart.</w:t>
      </w:r>
    </w:p>
    <w:p w14:paraId="3C7D45FB" w14:textId="77777777" w:rsidR="002B1FFE" w:rsidRPr="002B1FFE" w:rsidRDefault="002B1FFE" w:rsidP="002B1FF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Delivery Performance Flag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simplifies complex delivery data into an actionable category.</w:t>
      </w:r>
    </w:p>
    <w:p w14:paraId="2CF294D6" w14:textId="77777777" w:rsidR="002B1FFE" w:rsidRPr="002B1FFE" w:rsidRDefault="002B1FFE" w:rsidP="002B1FF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MoM Revenue % Change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adds a dynamic growth perspective to static revenue numbers.</w:t>
      </w:r>
    </w:p>
    <w:p w14:paraId="7144A9BC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5.3 Quality and Thoroughness of Documentation</w:t>
      </w:r>
    </w:p>
    <w:p w14:paraId="723082E3" w14:textId="77777777" w:rsidR="002B1FFE" w:rsidRPr="002B1FFE" w:rsidRDefault="002B1FFE" w:rsidP="002B1FF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This DOC file details:</w:t>
      </w:r>
    </w:p>
    <w:p w14:paraId="4A1A2664" w14:textId="046735E3" w:rsidR="002B1FFE" w:rsidRPr="002B1FFE" w:rsidRDefault="002B1FFE" w:rsidP="002B1FFE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Which advanced charts are used and why</w:t>
      </w:r>
      <w:r w:rsidR="00CB255E">
        <w:rPr>
          <w:rFonts w:ascii="Times New Roman" w:eastAsia="Times New Roman" w:hAnsi="Times New Roman" w:cs="Times New Roman"/>
          <w:sz w:val="24"/>
          <w:szCs w:val="24"/>
        </w:rPr>
        <w:t xml:space="preserve"> ?</w:t>
      </w:r>
    </w:p>
    <w:p w14:paraId="683FA1C4" w14:textId="77777777" w:rsidR="002B1FFE" w:rsidRPr="002B1FFE" w:rsidRDefault="002B1FFE" w:rsidP="002B1FFE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Exact formulas for key calculations.</w:t>
      </w:r>
    </w:p>
    <w:p w14:paraId="6C2DDB6E" w14:textId="77777777" w:rsidR="002B1FFE" w:rsidRPr="002B1FFE" w:rsidRDefault="002B1FFE" w:rsidP="002B1FFE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How these elements integrate into the dashboard.</w:t>
      </w:r>
    </w:p>
    <w:p w14:paraId="3647F523" w14:textId="77777777" w:rsidR="002B1FFE" w:rsidRPr="002B1FFE" w:rsidRDefault="002B1FFE" w:rsidP="002B1FFE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How interactions support the narrative.</w:t>
      </w:r>
    </w:p>
    <w:p w14:paraId="01940208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5.4 Overall Technical Depth and User-Centered Design</w:t>
      </w:r>
    </w:p>
    <w:p w14:paraId="261E96DE" w14:textId="77777777" w:rsidR="002B1FFE" w:rsidRPr="002B1FFE" w:rsidRDefault="002B1FFE" w:rsidP="002B1FF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lastRenderedPageBreak/>
        <w:t>Technical depth is demonstrated through:</w:t>
      </w:r>
    </w:p>
    <w:p w14:paraId="7E8E91B2" w14:textId="77777777" w:rsidR="002B1FFE" w:rsidRPr="002B1FFE" w:rsidRDefault="002B1FFE" w:rsidP="002B1FFE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Dual-axis design.</w:t>
      </w:r>
    </w:p>
    <w:p w14:paraId="3E785735" w14:textId="77777777" w:rsidR="002B1FFE" w:rsidRPr="002B1FFE" w:rsidRDefault="002B1FFE" w:rsidP="002B1FFE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Use of table calculations (MoM % change).</w:t>
      </w:r>
    </w:p>
    <w:p w14:paraId="29B65FF3" w14:textId="77777777" w:rsidR="002B1FFE" w:rsidRPr="002B1FFE" w:rsidRDefault="002B1FFE" w:rsidP="002B1FFE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Logical flags for performance categorization.</w:t>
      </w:r>
    </w:p>
    <w:p w14:paraId="548BC2FF" w14:textId="77777777" w:rsidR="002B1FFE" w:rsidRPr="002B1FFE" w:rsidRDefault="002B1FFE" w:rsidP="002B1FF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User-centered design is maintained by:</w:t>
      </w:r>
    </w:p>
    <w:p w14:paraId="10C482B0" w14:textId="77777777" w:rsidR="002B1FFE" w:rsidRPr="002B1FFE" w:rsidRDefault="002B1FFE" w:rsidP="002B1FFE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Keeping interpretations simple (e.g., Good/Poor flag).</w:t>
      </w:r>
    </w:p>
    <w:p w14:paraId="5DD64971" w14:textId="77777777" w:rsidR="002B1FFE" w:rsidRPr="002B1FFE" w:rsidRDefault="002B1FFE" w:rsidP="002B1FFE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Using color and layout to guide attention.</w:t>
      </w:r>
    </w:p>
    <w:p w14:paraId="00CC540A" w14:textId="77777777" w:rsidR="002B1FFE" w:rsidRPr="002B1FFE" w:rsidRDefault="002B1FFE" w:rsidP="002B1FFE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Ensuring that every advanced element answers a clear business question.</w:t>
      </w:r>
    </w:p>
    <w:p w14:paraId="39C0AAE5" w14:textId="77777777" w:rsidR="002B1FFE" w:rsidRPr="002B1FFE" w:rsidRDefault="005C6585" w:rsidP="002B1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0A38E7">
          <v:rect id="_x0000_i1035" style="width:0;height:1.5pt" o:hralign="center" o:hrstd="t" o:hr="t" fillcolor="#a0a0a0" stroked="f"/>
        </w:pict>
      </w:r>
    </w:p>
    <w:p w14:paraId="2F68F3ED" w14:textId="77777777" w:rsidR="002B1FFE" w:rsidRPr="002B1FFE" w:rsidRDefault="002B1FFE" w:rsidP="002B1F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</w:pPr>
      <w:r w:rsidRPr="002B1FFE">
        <w:rPr>
          <w:rFonts w:ascii="Times New Roman" w:eastAsia="Times New Roman" w:hAnsi="Times New Roman" w:cs="Times New Roman"/>
          <w:b/>
          <w:bCs/>
          <w:color w:val="8EAADB" w:themeColor="accent1" w:themeTint="99"/>
          <w:sz w:val="26"/>
          <w:szCs w:val="26"/>
        </w:rPr>
        <w:t>6. Implementation Notes (Brief)</w:t>
      </w:r>
    </w:p>
    <w:p w14:paraId="68629D24" w14:textId="77777777" w:rsidR="002B1FFE" w:rsidRPr="002B1FFE" w:rsidRDefault="002B1FFE" w:rsidP="002B1FF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Tool: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Tableau Desktop.</w:t>
      </w:r>
    </w:p>
    <w:p w14:paraId="3BF14D33" w14:textId="77777777" w:rsidR="00300CEE" w:rsidRDefault="002B1FFE" w:rsidP="002B1FF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Data Source: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Same CSV/Excel as Weeks 2–3:</w:t>
      </w:r>
    </w:p>
    <w:p w14:paraId="26D5F759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order_id</w:t>
      </w:r>
    </w:p>
    <w:p w14:paraId="1A4F8A70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order_date</w:t>
      </w:r>
    </w:p>
    <w:p w14:paraId="27EFCCA2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 xml:space="preserve">customer_id </w:t>
      </w:r>
    </w:p>
    <w:p w14:paraId="6E8B56B4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product_category</w:t>
      </w:r>
    </w:p>
    <w:p w14:paraId="547DD9B5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region</w:t>
      </w:r>
    </w:p>
    <w:p w14:paraId="756C408C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quantity</w:t>
      </w:r>
    </w:p>
    <w:p w14:paraId="3634A928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unit_price</w:t>
      </w:r>
    </w:p>
    <w:p w14:paraId="4B428D42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discount</w:t>
      </w:r>
    </w:p>
    <w:p w14:paraId="375CADF6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payment_method</w:t>
      </w:r>
    </w:p>
    <w:p w14:paraId="2B8CC36B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delivery_days</w:t>
      </w:r>
    </w:p>
    <w:p w14:paraId="560CCB58" w14:textId="77777777" w:rsidR="00300CEE" w:rsidRPr="00300CE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customer_rating</w:t>
      </w:r>
    </w:p>
    <w:p w14:paraId="2A336A50" w14:textId="43E1C8CF" w:rsidR="002B1FFE" w:rsidRPr="002B1FFE" w:rsidRDefault="002B1FFE" w:rsidP="00300CE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Courier New" w:eastAsia="Times New Roman" w:hAnsi="Courier New" w:cs="Courier New"/>
          <w:sz w:val="20"/>
        </w:rPr>
        <w:t>revenue</w:t>
      </w:r>
    </w:p>
    <w:p w14:paraId="118238AF" w14:textId="77777777" w:rsidR="002B1FFE" w:rsidRPr="002B1FFE" w:rsidRDefault="002B1FFE" w:rsidP="002B1FF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Refresh Frequency:</w:t>
      </w:r>
      <w:r w:rsidRPr="002B1FFE">
        <w:rPr>
          <w:rFonts w:ascii="Times New Roman" w:eastAsia="Times New Roman" w:hAnsi="Times New Roman" w:cs="Times New Roman"/>
          <w:sz w:val="24"/>
          <w:szCs w:val="24"/>
        </w:rPr>
        <w:t xml:space="preserve"> To be defined (e.g., weekly or monthly).</w:t>
      </w:r>
    </w:p>
    <w:p w14:paraId="4BC55F33" w14:textId="77777777" w:rsidR="002B1FFE" w:rsidRPr="002B1FFE" w:rsidRDefault="002B1FFE" w:rsidP="002B1FF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Considerations:</w:t>
      </w:r>
    </w:p>
    <w:p w14:paraId="6DE20842" w14:textId="77777777" w:rsidR="002B1FFE" w:rsidRPr="002B1FFE" w:rsidRDefault="002B1FFE" w:rsidP="002B1FF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Use aggregations for charts.</w:t>
      </w:r>
    </w:p>
    <w:p w14:paraId="1363B8ED" w14:textId="77777777" w:rsidR="002B1FFE" w:rsidRPr="002B1FFE" w:rsidRDefault="002B1FFE" w:rsidP="002B1FF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Limit detail tables to filtered subsets if data grows large.</w:t>
      </w:r>
    </w:p>
    <w:p w14:paraId="73BA13C4" w14:textId="77777777" w:rsidR="002B1FFE" w:rsidRPr="002B1FFE" w:rsidRDefault="002B1FFE" w:rsidP="002B1FF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1FFE">
        <w:rPr>
          <w:rFonts w:ascii="Times New Roman" w:eastAsia="Times New Roman" w:hAnsi="Times New Roman" w:cs="Times New Roman"/>
          <w:sz w:val="24"/>
          <w:szCs w:val="24"/>
        </w:rPr>
        <w:t>Optimize calculations (e.g., avoid unnecessary FIXED LODs if not needed).</w:t>
      </w:r>
    </w:p>
    <w:p w14:paraId="73E91813" w14:textId="77777777" w:rsidR="00BC52C4" w:rsidRDefault="00BC52C4"/>
    <w:sectPr w:rsidR="00BC52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39D2"/>
    <w:multiLevelType w:val="multilevel"/>
    <w:tmpl w:val="B8CA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B2D30"/>
    <w:multiLevelType w:val="multilevel"/>
    <w:tmpl w:val="B0CE5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B7738"/>
    <w:multiLevelType w:val="multilevel"/>
    <w:tmpl w:val="04A2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161DE5"/>
    <w:multiLevelType w:val="multilevel"/>
    <w:tmpl w:val="42845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C0CFD"/>
    <w:multiLevelType w:val="multilevel"/>
    <w:tmpl w:val="0FBA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C53018"/>
    <w:multiLevelType w:val="multilevel"/>
    <w:tmpl w:val="AE1CD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8137EB"/>
    <w:multiLevelType w:val="multilevel"/>
    <w:tmpl w:val="D96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C404CB"/>
    <w:multiLevelType w:val="multilevel"/>
    <w:tmpl w:val="33CC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E426EB"/>
    <w:multiLevelType w:val="multilevel"/>
    <w:tmpl w:val="9102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07DFA"/>
    <w:multiLevelType w:val="multilevel"/>
    <w:tmpl w:val="47A0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765FEF"/>
    <w:multiLevelType w:val="multilevel"/>
    <w:tmpl w:val="1F0C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8282B"/>
    <w:multiLevelType w:val="multilevel"/>
    <w:tmpl w:val="6D66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A522D0"/>
    <w:multiLevelType w:val="multilevel"/>
    <w:tmpl w:val="7B9E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351FE5"/>
    <w:multiLevelType w:val="multilevel"/>
    <w:tmpl w:val="8DDA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CD59D4"/>
    <w:multiLevelType w:val="multilevel"/>
    <w:tmpl w:val="B7B0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76765C"/>
    <w:multiLevelType w:val="multilevel"/>
    <w:tmpl w:val="08EA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1A7763"/>
    <w:multiLevelType w:val="multilevel"/>
    <w:tmpl w:val="C89CC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785D3E"/>
    <w:multiLevelType w:val="multilevel"/>
    <w:tmpl w:val="95DA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CC0B97"/>
    <w:multiLevelType w:val="multilevel"/>
    <w:tmpl w:val="84A2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82865"/>
    <w:multiLevelType w:val="multilevel"/>
    <w:tmpl w:val="C442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3762A8"/>
    <w:multiLevelType w:val="multilevel"/>
    <w:tmpl w:val="0832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961275"/>
    <w:multiLevelType w:val="multilevel"/>
    <w:tmpl w:val="9FEE0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5"/>
  </w:num>
  <w:num w:numId="3">
    <w:abstractNumId w:val="11"/>
  </w:num>
  <w:num w:numId="4">
    <w:abstractNumId w:val="3"/>
  </w:num>
  <w:num w:numId="5">
    <w:abstractNumId w:val="19"/>
  </w:num>
  <w:num w:numId="6">
    <w:abstractNumId w:val="2"/>
  </w:num>
  <w:num w:numId="7">
    <w:abstractNumId w:val="16"/>
  </w:num>
  <w:num w:numId="8">
    <w:abstractNumId w:val="4"/>
  </w:num>
  <w:num w:numId="9">
    <w:abstractNumId w:val="13"/>
  </w:num>
  <w:num w:numId="10">
    <w:abstractNumId w:val="0"/>
  </w:num>
  <w:num w:numId="11">
    <w:abstractNumId w:val="10"/>
  </w:num>
  <w:num w:numId="12">
    <w:abstractNumId w:val="9"/>
  </w:num>
  <w:num w:numId="13">
    <w:abstractNumId w:val="18"/>
  </w:num>
  <w:num w:numId="14">
    <w:abstractNumId w:val="14"/>
  </w:num>
  <w:num w:numId="15">
    <w:abstractNumId w:val="17"/>
  </w:num>
  <w:num w:numId="16">
    <w:abstractNumId w:val="15"/>
  </w:num>
  <w:num w:numId="17">
    <w:abstractNumId w:val="12"/>
  </w:num>
  <w:num w:numId="18">
    <w:abstractNumId w:val="7"/>
  </w:num>
  <w:num w:numId="19">
    <w:abstractNumId w:val="21"/>
  </w:num>
  <w:num w:numId="20">
    <w:abstractNumId w:val="6"/>
  </w:num>
  <w:num w:numId="21">
    <w:abstractNumId w:val="1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FFE"/>
    <w:rsid w:val="002B1FFE"/>
    <w:rsid w:val="00300CEE"/>
    <w:rsid w:val="005C6585"/>
    <w:rsid w:val="009C0F4E"/>
    <w:rsid w:val="00BC52C4"/>
    <w:rsid w:val="00CB2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605C5"/>
  <w15:chartTrackingRefBased/>
  <w15:docId w15:val="{368E0A52-C948-4DC6-A6F8-E5D002148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B1FF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B1FF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5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FF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B1FFE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my-2">
    <w:name w:val="my-2"/>
    <w:basedOn w:val="Normal"/>
    <w:rsid w:val="002B1F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B1FF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FF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1F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1FFE"/>
    <w:rPr>
      <w:rFonts w:ascii="Courier New" w:eastAsia="Times New Roman" w:hAnsi="Courier New" w:cs="Courier New"/>
      <w:sz w:val="20"/>
    </w:rPr>
  </w:style>
  <w:style w:type="character" w:styleId="Emphasis">
    <w:name w:val="Emphasis"/>
    <w:basedOn w:val="DefaultParagraphFont"/>
    <w:uiPriority w:val="20"/>
    <w:qFormat/>
    <w:rsid w:val="002B1FFE"/>
    <w:rPr>
      <w:i/>
      <w:iCs/>
    </w:rPr>
  </w:style>
  <w:style w:type="table" w:styleId="TableGrid">
    <w:name w:val="Table Grid"/>
    <w:basedOn w:val="TableNormal"/>
    <w:uiPriority w:val="39"/>
    <w:rsid w:val="002B1F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C0F4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5C6585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7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28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69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23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7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8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9</Pages>
  <Words>1472</Words>
  <Characters>8391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Mukesh Samrit</dc:creator>
  <cp:keywords/>
  <dc:description/>
  <cp:lastModifiedBy>Mukesh Samrit</cp:lastModifiedBy>
  <cp:revision>3</cp:revision>
  <dcterms:created xsi:type="dcterms:W3CDTF">2026-08-29T07:42:00Z</dcterms:created>
  <dcterms:modified xsi:type="dcterms:W3CDTF">2026-08-29T14:28:00Z</dcterms:modified>
</cp:coreProperties>
</file>