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06060"/>
          <w:sz w:val="18"/>
        </w:rPr>
        <w:t>CONTOSO INDUSTRIAL</w:t>
      </w:r>
    </w:p>
    <w:p>
      <w:pPr>
        <w:pStyle w:val="Title"/>
      </w:pPr>
      <w:r>
        <w:t>Contoso Industrial Global Warranty Policy</w:t>
      </w:r>
    </w:p>
    <w:p>
      <w:pPr>
        <w:jc w:val="left"/>
      </w:pPr>
      <w:r>
        <w:rPr>
          <w:i/>
        </w:rPr>
        <w:t>Version 4.2 — effective 2025-04-01</w:t>
      </w:r>
    </w:p>
    <w:tbl>
      <w:tblPr>
        <w:tblStyle w:val="LightGrid-Accent1"/>
        <w:tblW w:type="auto" w:w="0"/>
        <w:tblLook w:firstColumn="1" w:firstRow="1" w:lastColumn="0" w:lastRow="0" w:noHBand="0" w:noVBand="1" w:val="04A0"/>
      </w:tblPr>
      <w:tblGrid>
        <w:gridCol w:w="4320"/>
        <w:gridCol w:w="4320"/>
      </w:tblGrid>
      <w:tr>
        <w:tc>
          <w:tcPr>
            <w:tcW w:type="dxa" w:w="4320"/>
          </w:tcPr>
          <w:p>
            <w:r>
              <w:rPr>
                <w:b/>
              </w:rPr>
              <w:t>Reference</w:t>
            </w:r>
          </w:p>
        </w:tc>
        <w:tc>
          <w:tcPr>
            <w:tcW w:type="dxa" w:w="4320"/>
          </w:tcPr>
          <w:p>
            <w:r>
              <w:t>POL-WAR-4.2</w:t>
            </w:r>
          </w:p>
        </w:tc>
      </w:tr>
      <w:tr>
        <w:tc>
          <w:tcPr>
            <w:tcW w:type="dxa" w:w="4320"/>
          </w:tcPr>
          <w:p>
            <w:r>
              <w:rPr>
                <w:b/>
              </w:rPr>
              <w:t>Version</w:t>
            </w:r>
          </w:p>
        </w:tc>
        <w:tc>
          <w:tcPr>
            <w:tcW w:type="dxa" w:w="4320"/>
          </w:tcPr>
          <w:p>
            <w:r>
              <w:t>4.2</w:t>
            </w:r>
          </w:p>
        </w:tc>
      </w:tr>
      <w:tr>
        <w:tc>
          <w:tcPr>
            <w:tcW w:type="dxa" w:w="4320"/>
          </w:tcPr>
          <w:p>
            <w:r>
              <w:rPr>
                <w:b/>
              </w:rPr>
              <w:t>Effective from</w:t>
            </w:r>
          </w:p>
        </w:tc>
        <w:tc>
          <w:tcPr>
            <w:tcW w:type="dxa" w:w="4320"/>
          </w:tcPr>
          <w:p>
            <w:r>
              <w:t>2025-04-01</w:t>
            </w:r>
          </w:p>
        </w:tc>
      </w:tr>
      <w:tr>
        <w:tc>
          <w:tcPr>
            <w:tcW w:type="dxa" w:w="4320"/>
          </w:tcPr>
          <w:p>
            <w:r>
              <w:rPr>
                <w:b/>
              </w:rPr>
              <w:t>Document owner</w:t>
            </w:r>
          </w:p>
        </w:tc>
        <w:tc>
          <w:tcPr>
            <w:tcW w:type="dxa" w:w="4320"/>
          </w:tcPr>
          <w:p>
            <w:r>
              <w:t>Warranty Operations</w:t>
            </w:r>
          </w:p>
        </w:tc>
      </w:tr>
      <w:tr>
        <w:tc>
          <w:tcPr>
            <w:tcW w:type="dxa" w:w="4320"/>
          </w:tcPr>
          <w:p>
            <w:r>
              <w:rPr>
                <w:b/>
              </w:rPr>
              <w:t>Applies to</w:t>
            </w:r>
          </w:p>
        </w:tc>
        <w:tc>
          <w:tcPr>
            <w:tcW w:type="dxa" w:w="4320"/>
          </w:tcPr>
          <w:p>
            <w:r>
              <w:t>All products, all regions, all authorised service partners</w:t>
            </w:r>
          </w:p>
        </w:tc>
      </w:tr>
      <w:tr>
        <w:tc>
          <w:tcPr>
            <w:tcW w:type="dxa" w:w="4320"/>
          </w:tcPr>
          <w:p>
            <w:r>
              <w:rPr>
                <w:b/>
              </w:rPr>
              <w:t>Supersedes</w:t>
            </w:r>
          </w:p>
        </w:tc>
        <w:tc>
          <w:tcPr>
            <w:tcW w:type="dxa" w:w="4320"/>
          </w:tcPr>
          <w:p>
            <w:r>
              <w:t>POL-WAR-4.1 (effective 1 April 2024)</w:t>
            </w:r>
          </w:p>
        </w:tc>
      </w:tr>
    </w:tbl>
    <w:p/>
    <w:p>
      <w:pPr>
        <w:pStyle w:val="Heading1"/>
      </w:pPr>
      <w:r>
        <w:t>Purpose</w:t>
      </w:r>
    </w:p>
    <w:p>
      <w:r>
        <w:t>This policy sets out the warranty Contoso Industrial provides on equipment it manufactures, the basis on which a claim from an authorised service partner is adjudicated, and the amounts payable. It applies to every claim submitted through the service claim system.</w:t>
      </w:r>
    </w:p>
    <w:p>
      <w:pPr>
        <w:pStyle w:val="Heading1"/>
      </w:pPr>
      <w:r>
        <w:t>1. Interpretation</w:t>
      </w:r>
    </w:p>
    <w:p>
      <w:pPr>
        <w:pStyle w:val="Heading2"/>
      </w:pPr>
      <w:r>
        <w:t>1.4  Precedence between instruments</w:t>
      </w:r>
    </w:p>
    <w:p>
      <w:r>
        <w:t>Where two or more instruments address the same asset, the order of precedence is: (a) a Technical Service Bulletin that names the serial range of the asset; (b) the Regional Addendum for the region in which the asset is installed; (c) this policy. A Bulletin that has been superseded has no effect, whether or not it remains published. Where the Bulletin document and the service system applicability index disagree, the Bulletin document governs; the index is maintained for reporting and is informational only.</w:t>
      </w:r>
    </w:p>
    <w:p>
      <w:pPr>
        <w:pStyle w:val="Heading1"/>
      </w:pPr>
      <w:r>
        <w:t>2. Coverage</w:t>
      </w:r>
    </w:p>
    <w:p>
      <w:pPr>
        <w:pStyle w:val="Heading2"/>
      </w:pPr>
      <w:r>
        <w:t>2.1  Standard coverage period</w:t>
      </w:r>
    </w:p>
    <w:p>
      <w:r>
        <w:t>Unless extended or varied by an instrument of higher precedence, an asset is covered for twenty-four (24) months from the date of commissioning, or six thousand (6,000) running hours, whichever occurs first.</w:t>
      </w:r>
    </w:p>
    <w:p>
      <w:pPr>
        <w:pStyle w:val="Heading2"/>
      </w:pPr>
      <w:r>
        <w:t>2.3  Assets with no commissioning record</w:t>
      </w:r>
    </w:p>
    <w:p>
      <w:r>
        <w:t>Where the commissioning record for an asset is absent from the asset registry, coverage cannot be determined. The claim is to be held and the commissioning certificate requested from the installing partner. The date of despatch or the date of installation must not be substituted for the date of commissioning.</w:t>
      </w:r>
    </w:p>
    <w:p>
      <w:pPr>
        <w:pStyle w:val="Heading1"/>
      </w:pPr>
      <w:r>
        <w:t>4. Amounts payable</w:t>
      </w:r>
    </w:p>
    <w:p>
      <w:pPr>
        <w:pStyle w:val="Heading2"/>
      </w:pPr>
      <w:r>
        <w:t>4.1  Labour</w:t>
      </w:r>
    </w:p>
    <w:p>
      <w:r>
        <w:t>Labour is payable at the flat-rate allowance published for the operation code in the current Flat Rate Labour schedule, or at the hours actually claimed, whichever is the lesser. The rate applied is the regional labour rate in force on the date of repair.</w:t>
      </w:r>
    </w:p>
    <w:p>
      <w:pPr>
        <w:pStyle w:val="Heading2"/>
      </w:pPr>
      <w:r>
        <w:t>4.2  Parts</w:t>
      </w:r>
    </w:p>
    <w:p>
      <w:r>
        <w:t>Parts are payable at the published list price for the region, for the part actually fitted. Where a part has been superseded, the price of the superseding part applies.</w:t>
      </w:r>
    </w:p>
    <w:p>
      <w:pPr>
        <w:pStyle w:val="Heading2"/>
      </w:pPr>
      <w:r>
        <w:t>4.3  Handling</w:t>
      </w:r>
    </w:p>
    <w:p>
      <w:r>
        <w:t>A handling uplift on parts is payable only where the partner's Service Partner Agreement expressly grants one, at the percentage stated in that agreement.</w:t>
      </w:r>
    </w:p>
    <w:p>
      <w:pPr>
        <w:pStyle w:val="Heading1"/>
      </w:pPr>
      <w:r>
        <w:t>5. Exclusions</w:t>
      </w:r>
    </w:p>
    <w:p>
      <w:pPr>
        <w:pStyle w:val="Heading2"/>
      </w:pPr>
      <w:r>
        <w:t>5.1  Exclusion - misuse and overload</w:t>
      </w:r>
    </w:p>
    <w:p>
      <w:r>
        <w:t>Damage arising from operation outside the published duty envelope, including sustained overload, is excluded.</w:t>
      </w:r>
    </w:p>
    <w:p>
      <w:pPr>
        <w:pStyle w:val="Heading2"/>
      </w:pPr>
      <w:r>
        <w:t>5.2  Exclusion - fluid contamination</w:t>
      </w:r>
    </w:p>
    <w:p>
      <w:r>
        <w:t>Damage arising from hydraulic fluid contamination above ISO 4406 class 18/16/13 is excluded, save where a Technical Service Bulletin provides otherwise.</w:t>
      </w:r>
    </w:p>
    <w:p>
      <w:pPr>
        <w:pStyle w:val="Heading2"/>
      </w:pPr>
      <w:r>
        <w:t>5.3  Exclusion - unauthorised modification</w:t>
      </w:r>
    </w:p>
    <w:p>
      <w:r>
        <w:t>Damage arising from modification not authorised in writing by Contoso Industrial is excluded.</w:t>
      </w:r>
    </w:p>
    <w:p>
      <w:pPr>
        <w:pStyle w:val="Heading2"/>
      </w:pPr>
      <w:r>
        <w:t>5.4  Exclusion - consumables</w:t>
      </w:r>
    </w:p>
    <w:p>
      <w:r>
        <w:t>Filters, fluids, belts, seals fitted as routine maintenance, and other consumables are excluded.</w:t>
      </w:r>
    </w:p>
    <w:p>
      <w:pPr>
        <w:pStyle w:val="Heading1"/>
      </w:pPr>
      <w:r>
        <w:t>6. Repair warranty</w:t>
      </w:r>
    </w:p>
    <w:p>
      <w:pPr>
        <w:pStyle w:val="Heading2"/>
      </w:pPr>
      <w:r>
        <w:t>6.1  Repair warranty</w:t>
      </w:r>
    </w:p>
    <w:p>
      <w:r>
        <w:t>A component replaced under warranty carries a further ninety (90) days of coverage from the date the repair was completed. A claim arising within that period is adjudicated under this clause and carries funding code RW, whether or not the underlying asset remains within its coverage period.</w:t>
      </w:r>
    </w:p>
    <w:p>
      <w:pPr>
        <w:pStyle w:val="Heading1"/>
      </w:pPr>
      <w:r>
        <w:t>7. Goodwill and authority</w:t>
      </w:r>
    </w:p>
    <w:p>
      <w:pPr>
        <w:pStyle w:val="Heading2"/>
      </w:pPr>
      <w:r>
        <w:t>7.1  Goodwill authority</w:t>
      </w:r>
    </w:p>
    <w:p>
      <w:r>
        <w:t>An amount payable outside coverage may be authorised as goodwill only by a person holding the tier of authority set out in the Goodwill and Authority Matrix for that amount, and only where the authority is recorded in the claim system. An approval given in conversation, in a channel message, or by telephone does not constitute authority for the purposes of this clause.</w:t>
      </w:r>
    </w:p>
    <w:p>
      <w:pPr>
        <w:pStyle w:val="Heading1"/>
      </w:pPr>
      <w:r>
        <w:t>Annexes</w:t>
      </w:r>
    </w:p>
    <w:p>
      <w:r>
        <w:t>The Flat Rate Labour schedule, the regional labour rate schedule and the parts price list are maintained separately and published in the Warranty Operations library. The Goodwill and Authority Matrix referred to at clause 7.1 is published alongside this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