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Technical Service Bulletin TSB-C-0051</w:t>
      </w:r>
    </w:p>
    <w:p>
      <w:pPr>
        <w:jc w:val="left"/>
      </w:pPr>
      <w:r>
        <w:rPr>
          <w:i/>
        </w:rPr>
        <w:t>Extended coverage - 4000-series hydraulic circuit and compressor</w:t>
      </w:r>
    </w:p>
    <w:tbl>
      <w:tblPr>
        <w:tblStyle w:val="LightGrid-Accent1"/>
        <w:tblW w:type="auto" w:w="0"/>
        <w:tblLook w:firstColumn="1" w:firstRow="1" w:lastColumn="0" w:lastRow="0" w:noHBand="0" w:noVBand="1" w:val="04A0"/>
      </w:tblPr>
      <w:tblGrid>
        <w:gridCol w:w="4320"/>
        <w:gridCol w:w="4320"/>
      </w:tblGrid>
      <w:tr>
        <w:tc>
          <w:tcPr>
            <w:tcW w:type="dxa" w:w="4320"/>
          </w:tcPr>
          <w:p>
            <w:r>
              <w:rPr>
                <w:b/>
              </w:rPr>
              <w:t>Bulletin reference</w:t>
            </w:r>
          </w:p>
        </w:tc>
        <w:tc>
          <w:tcPr>
            <w:tcW w:type="dxa" w:w="4320"/>
          </w:tcPr>
          <w:p>
            <w:r>
              <w:t>TSB-C-0051</w:t>
            </w:r>
          </w:p>
        </w:tc>
      </w:tr>
      <w:tr>
        <w:tc>
          <w:tcPr>
            <w:tcW w:type="dxa" w:w="4320"/>
          </w:tcPr>
          <w:p>
            <w:r>
              <w:rPr>
                <w:b/>
              </w:rPr>
              <w:t>Effective from</w:t>
            </w:r>
          </w:p>
        </w:tc>
        <w:tc>
          <w:tcPr>
            <w:tcW w:type="dxa" w:w="4320"/>
          </w:tcPr>
          <w:p>
            <w:r>
              <w:t>2026-01-15</w:t>
            </w:r>
          </w:p>
        </w:tc>
      </w:tr>
      <w:tr>
        <w:tc>
          <w:tcPr>
            <w:tcW w:type="dxa" w:w="4320"/>
          </w:tcPr>
          <w:p>
            <w:r>
              <w:rPr>
                <w:b/>
              </w:rPr>
              <w:t>Product family</w:t>
            </w:r>
          </w:p>
        </w:tc>
        <w:tc>
          <w:tcPr>
            <w:tcW w:type="dxa" w:w="4320"/>
          </w:tcPr>
          <w:p>
            <w:r>
              <w:t>4000-series industrial chiller</w:t>
            </w:r>
          </w:p>
        </w:tc>
      </w:tr>
      <w:tr>
        <w:tc>
          <w:tcPr>
            <w:tcW w:type="dxa" w:w="4320"/>
          </w:tcPr>
          <w:p>
            <w:r>
              <w:rPr>
                <w:b/>
              </w:rPr>
              <w:t>Serial range</w:t>
            </w:r>
          </w:p>
        </w:tc>
        <w:tc>
          <w:tcPr>
            <w:tcW w:type="dxa" w:w="4320"/>
          </w:tcPr>
          <w:p>
            <w:r>
              <w:t>CIE-4000-CH-01200 to CIE-4000-CH-01850 inclusive</w:t>
            </w:r>
          </w:p>
        </w:tc>
      </w:tr>
      <w:tr>
        <w:tc>
          <w:tcPr>
            <w:tcW w:type="dxa" w:w="4320"/>
          </w:tcPr>
          <w:p>
            <w:r>
              <w:rPr>
                <w:b/>
              </w:rPr>
              <w:t>Status</w:t>
            </w:r>
          </w:p>
        </w:tc>
        <w:tc>
          <w:tcPr>
            <w:tcW w:type="dxa" w:w="4320"/>
          </w:tcPr>
          <w:p>
            <w:r>
              <w:t>Current</w:t>
            </w:r>
          </w:p>
        </w:tc>
      </w:tr>
    </w:tbl>
    <w:p/>
    <w:p>
      <w:pPr>
        <w:pStyle w:val="Heading1"/>
      </w:pPr>
      <w:r>
        <w:t>Purpose</w:t>
      </w:r>
    </w:p>
    <w:p>
      <w:r>
        <w:t>Elevated failure rates have been observed on the hydraulic circuit and compressor of affected units. Coverage is extended as set out below.</w:t>
      </w:r>
    </w:p>
    <w:p>
      <w:pPr>
        <w:pStyle w:val="Heading1"/>
      </w:pPr>
      <w:r>
        <w:t>Effect on warranty</w:t>
      </w:r>
    </w:p>
    <w:p>
      <w:r>
        <w:t>For assets within the serial range named above, coverage of the hydraulic circuit and compressor is extended to 36 months from the date of commissioning, or 8,000 running hours, whichever occurs first.</w:t>
      </w:r>
    </w:p>
    <w:p>
      <w:r>
        <w:t>This bulletin names a serial range and therefore takes precedence over the regional addendum and the Global Warranty Policy, in accordance with clause 1.4 of that policy.</w:t>
      </w:r>
    </w:p>
    <w:p>
      <w:pPr>
        <w:pStyle w:val="Heading1"/>
      </w:pPr>
      <w:r>
        <w:t>Note on the service system index</w:t>
      </w:r>
    </w:p>
    <w:p>
      <w:r>
        <w:t>The applicability index held in the service claim system is maintained for reporting and may lag this document. Where the index and this bulletin disagree on the serial range, this bulletin governs, in accordance with clause 1.4 of the Global Warranty Policy.</w:t>
      </w:r>
    </w:p>
    <w:p>
      <w:pPr>
        <w:pStyle w:val="Heading1"/>
      </w:pPr>
      <w:r>
        <w:t>Claim handling</w:t>
      </w:r>
    </w:p>
    <w:p>
      <w:r>
        <w:t>Claims adjudicated under this bulletin are recorded against funding code TSB with the reference TSB-C-0051.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