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Regional Addendum - APAC</w:t>
      </w:r>
    </w:p>
    <w:p>
      <w:pPr>
        <w:jc w:val="left"/>
      </w:pPr>
      <w:r>
        <w:rPr>
          <w:i/>
        </w:rPr>
        <w:t>Version 1.1 — effective 2025-04-01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</w:t>
            </w:r>
          </w:p>
        </w:tc>
        <w:tc>
          <w:tcPr>
            <w:tcW w:type="dxa" w:w="4320"/>
          </w:tcPr>
          <w:p>
            <w:r>
              <w:t>ADD-AP-1.1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APAC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4320"/>
          </w:tcPr>
          <w:p>
            <w:r>
              <w:t>SGD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2025-04-01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Read with</w:t>
            </w:r>
          </w:p>
        </w:tc>
        <w:tc>
          <w:tcPr>
            <w:tcW w:type="dxa" w:w="4320"/>
          </w:tcPr>
          <w:p>
            <w:r>
              <w:t>POL-WAR-4.2 Contoso Industrial Global Warranty Policy</w:t>
            </w:r>
          </w:p>
        </w:tc>
      </w:tr>
    </w:tbl>
    <w:p/>
    <w:p>
      <w:pPr>
        <w:pStyle w:val="Heading1"/>
      </w:pPr>
      <w:r>
        <w:t>Scope</w:t>
      </w:r>
    </w:p>
    <w:p>
      <w:r>
        <w:t>This addendum varies the Global Warranty Policy for equipment installed in APAC. Where this addendum is silent, the Global Warranty Policy applies without variation. Where a Technical Service Bulletin names the serial range of an asset, clause 1.4 of the Global Warranty Policy governs the order of precedence.</w:t>
      </w:r>
    </w:p>
    <w:p>
      <w:pPr>
        <w:pStyle w:val="Heading2"/>
      </w:pPr>
      <w:r>
        <w:t>A1  Coverage period</w:t>
      </w:r>
    </w:p>
    <w:p>
      <w:r>
        <w:t>The standard coverage period at clause 2.1 of the Global Warranty Policy applies without variation.</w:t>
      </w:r>
    </w:p>
    <w:p>
      <w:pPr>
        <w:pStyle w:val="Heading1"/>
      </w:pPr>
      <w:r>
        <w:t>Summary of varied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Global policy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APAC</w:t>
            </w:r>
          </w:p>
        </w:tc>
      </w:tr>
      <w:tr>
        <w:tc>
          <w:tcPr>
            <w:tcW w:type="dxa" w:w="2880"/>
          </w:tcPr>
          <w:p>
            <w:r>
              <w:t>Coverage period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  <w:tc>
          <w:tcPr>
            <w:tcW w:type="dxa" w:w="2880"/>
          </w:tcPr>
          <w:p>
            <w:r>
              <w:t>24 months</w:t>
            </w:r>
          </w:p>
        </w:tc>
      </w:tr>
      <w:tr>
        <w:tc>
          <w:tcPr>
            <w:tcW w:type="dxa" w:w="2880"/>
          </w:tcPr>
          <w:p>
            <w:r>
              <w:t>Running-hours limit</w:t>
            </w:r>
          </w:p>
        </w:tc>
        <w:tc>
          <w:tcPr>
            <w:tcW w:type="dxa" w:w="2880"/>
          </w:tcPr>
          <w:p>
            <w:r>
              <w:t>6,000 h</w:t>
            </w:r>
          </w:p>
        </w:tc>
        <w:tc>
          <w:tcPr>
            <w:tcW w:type="dxa" w:w="2880"/>
          </w:tcPr>
          <w:p>
            <w:r>
              <w:t>6,000 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