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Regional Addendum - India</w:t>
      </w:r>
    </w:p>
    <w:p>
      <w:pPr>
        <w:jc w:val="left"/>
      </w:pPr>
      <w:r>
        <w:rPr>
          <w:i/>
        </w:rPr>
        <w:t>Version 2.1 — effective 2025-04-01</w:t>
      </w:r>
    </w:p>
    <w:tbl>
      <w:tblPr>
        <w:tblStyle w:val="LightGrid-Accent1"/>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t>ADD-IN-2.1</w:t>
            </w:r>
          </w:p>
        </w:tc>
      </w:tr>
      <w:tr>
        <w:tc>
          <w:tcPr>
            <w:tcW w:type="dxa" w:w="4320"/>
          </w:tcPr>
          <w:p>
            <w:r>
              <w:rPr>
                <w:b/>
              </w:rPr>
              <w:t>Region</w:t>
            </w:r>
          </w:p>
        </w:tc>
        <w:tc>
          <w:tcPr>
            <w:tcW w:type="dxa" w:w="4320"/>
          </w:tcPr>
          <w:p>
            <w:r>
              <w:t>India</w:t>
            </w:r>
          </w:p>
        </w:tc>
      </w:tr>
      <w:tr>
        <w:tc>
          <w:tcPr>
            <w:tcW w:type="dxa" w:w="4320"/>
          </w:tcPr>
          <w:p>
            <w:r>
              <w:rPr>
                <w:b/>
              </w:rPr>
              <w:t>Currency</w:t>
            </w:r>
          </w:p>
        </w:tc>
        <w:tc>
          <w:tcPr>
            <w:tcW w:type="dxa" w:w="4320"/>
          </w:tcPr>
          <w:p>
            <w:r>
              <w:t>INR</w:t>
            </w:r>
          </w:p>
        </w:tc>
      </w:tr>
      <w:tr>
        <w:tc>
          <w:tcPr>
            <w:tcW w:type="dxa" w:w="4320"/>
          </w:tcPr>
          <w:p>
            <w:r>
              <w:rPr>
                <w:b/>
              </w:rPr>
              <w:t>Effective from</w:t>
            </w:r>
          </w:p>
        </w:tc>
        <w:tc>
          <w:tcPr>
            <w:tcW w:type="dxa" w:w="4320"/>
          </w:tcPr>
          <w:p>
            <w:r>
              <w:t>2025-04-01</w:t>
            </w:r>
          </w:p>
        </w:tc>
      </w:tr>
      <w:tr>
        <w:tc>
          <w:tcPr>
            <w:tcW w:type="dxa" w:w="4320"/>
          </w:tcPr>
          <w:p>
            <w:r>
              <w:rPr>
                <w:b/>
              </w:rPr>
              <w:t>Read with</w:t>
            </w:r>
          </w:p>
        </w:tc>
        <w:tc>
          <w:tcPr>
            <w:tcW w:type="dxa" w:w="4320"/>
          </w:tcPr>
          <w:p>
            <w:r>
              <w:t>POL-WAR-4.2 Contoso Industrial Global Warranty Policy</w:t>
            </w:r>
          </w:p>
        </w:tc>
      </w:tr>
    </w:tbl>
    <w:p/>
    <w:p>
      <w:pPr>
        <w:pStyle w:val="Heading1"/>
      </w:pPr>
      <w:r>
        <w:t>Scope</w:t>
      </w:r>
    </w:p>
    <w:p>
      <w:r>
        <w:t>This addendum varies the Global Warranty Policy for equipment installed in India. Where this addendum is silent, the Global Warranty Policy applies without variation. Where a Technical Service Bulletin names the serial range of an asset, clause 1.4 of the Global Warranty Policy governs the order of precedence.</w:t>
      </w:r>
    </w:p>
    <w:p>
      <w:pPr>
        <w:pStyle w:val="Heading2"/>
      </w:pPr>
      <w:r>
        <w:t>A1  Varied coverage period</w:t>
      </w:r>
    </w:p>
    <w:p>
      <w:r>
        <w:t>For assets installed in India, the standard coverage period at clause 2.1 of the Global Warranty Policy is varied to eighteen (18) months from the date of commissioning, or five thousand (5,000) running hours, whichever occurs first.</w:t>
      </w:r>
    </w:p>
    <w:p>
      <w:pPr>
        <w:pStyle w:val="Heading2"/>
      </w:pPr>
      <w:r>
        <w:t>A3  Coastal and monsoon exclusion</w:t>
      </w:r>
    </w:p>
    <w:p>
      <w:r>
        <w:t>Corrosion damage at a coastal installation arising between 1 June and 30 September is excluded, save where a Technical Service Bulletin provides otherwise.</w:t>
      </w:r>
    </w:p>
    <w:p>
      <w:pPr>
        <w:pStyle w:val="Heading1"/>
      </w:pPr>
      <w:r>
        <w:t>Summary of varied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Global policy</w:t>
            </w:r>
          </w:p>
        </w:tc>
        <w:tc>
          <w:tcPr>
            <w:tcW w:type="dxa" w:w="2880"/>
          </w:tcPr>
          <w:p>
            <w:r>
              <w:rPr>
                <w:b/>
              </w:rPr>
              <w:t>India</w:t>
            </w:r>
          </w:p>
        </w:tc>
      </w:tr>
      <w:tr>
        <w:tc>
          <w:tcPr>
            <w:tcW w:type="dxa" w:w="2880"/>
          </w:tcPr>
          <w:p>
            <w:r>
              <w:t>Coverage period</w:t>
            </w:r>
          </w:p>
        </w:tc>
        <w:tc>
          <w:tcPr>
            <w:tcW w:type="dxa" w:w="2880"/>
          </w:tcPr>
          <w:p>
            <w:r>
              <w:t>24 months</w:t>
            </w:r>
          </w:p>
        </w:tc>
        <w:tc>
          <w:tcPr>
            <w:tcW w:type="dxa" w:w="2880"/>
          </w:tcPr>
          <w:p>
            <w:r>
              <w:t>18 months</w:t>
            </w:r>
          </w:p>
        </w:tc>
      </w:tr>
      <w:tr>
        <w:tc>
          <w:tcPr>
            <w:tcW w:type="dxa" w:w="2880"/>
          </w:tcPr>
          <w:p>
            <w:r>
              <w:t>Running-hours limit</w:t>
            </w:r>
          </w:p>
        </w:tc>
        <w:tc>
          <w:tcPr>
            <w:tcW w:type="dxa" w:w="2880"/>
          </w:tcPr>
          <w:p>
            <w:r>
              <w:t>6,000 h</w:t>
            </w:r>
          </w:p>
        </w:tc>
        <w:tc>
          <w:tcPr>
            <w:tcW w:type="dxa" w:w="2880"/>
          </w:tcPr>
          <w:p>
            <w:r>
              <w:t>5,000 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