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Technical Service Bulletin TSB-C-0055</w:t>
      </w:r>
    </w:p>
    <w:p>
      <w:pPr>
        <w:jc w:val="left"/>
      </w:pPr>
      <w:r>
        <w:rPr>
          <w:i/>
        </w:rPr>
        <w:t>Revised torque specification - compressor mounting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Bulletin reference</w:t>
            </w:r>
          </w:p>
        </w:tc>
        <w:tc>
          <w:tcPr>
            <w:tcW w:type="dxa" w:w="4320"/>
          </w:tcPr>
          <w:p>
            <w:r>
              <w:t>TSB-C-0055</w:t>
            </w:r>
          </w:p>
        </w:tc>
      </w:tr>
      <w:tr>
        <w:tc>
          <w:tcPr>
            <w:tcW w:type="dxa" w:w="4320"/>
          </w:tcPr>
          <w:p>
            <w:r>
              <w:rPr>
                <w:b/>
              </w:rPr>
              <w:t>Effective from</w:t>
            </w:r>
          </w:p>
        </w:tc>
        <w:tc>
          <w:tcPr>
            <w:tcW w:type="dxa" w:w="4320"/>
          </w:tcPr>
          <w:p>
            <w:r>
              <w:t>2026-03-18</w:t>
            </w:r>
          </w:p>
        </w:tc>
      </w:tr>
      <w:tr>
        <w:tc>
          <w:tcPr>
            <w:tcW w:type="dxa" w:w="4320"/>
          </w:tcPr>
          <w:p>
            <w:r>
              <w:rPr>
                <w:b/>
              </w:rPr>
              <w:t>Product family</w:t>
            </w:r>
          </w:p>
        </w:tc>
        <w:tc>
          <w:tcPr>
            <w:tcW w:type="dxa" w:w="4320"/>
          </w:tcPr>
          <w:p>
            <w:r>
              <w:t>4000-series industrial chiller</w:t>
            </w:r>
          </w:p>
        </w:tc>
      </w:tr>
      <w:tr>
        <w:tc>
          <w:tcPr>
            <w:tcW w:type="dxa" w:w="4320"/>
          </w:tcPr>
          <w:p>
            <w:r>
              <w:rPr>
                <w:b/>
              </w:rPr>
              <w:t>Serial range</w:t>
            </w:r>
          </w:p>
        </w:tc>
        <w:tc>
          <w:tcPr>
            <w:tcW w:type="dxa" w:w="4320"/>
          </w:tcPr>
          <w:p>
            <w:r>
              <w:t>All serials in the named family</w:t>
            </w:r>
          </w:p>
        </w:tc>
      </w:tr>
      <w:tr>
        <w:tc>
          <w:tcPr>
            <w:tcW w:type="dxa" w:w="4320"/>
          </w:tcPr>
          <w:p>
            <w:r>
              <w:rPr>
                <w:b/>
              </w:rPr>
              <w:t>Status</w:t>
            </w:r>
          </w:p>
        </w:tc>
        <w:tc>
          <w:tcPr>
            <w:tcW w:type="dxa" w:w="4320"/>
          </w:tcPr>
          <w:p>
            <w:r>
              <w:t>Current</w:t>
            </w:r>
          </w:p>
        </w:tc>
      </w:tr>
    </w:tbl>
    <w:p/>
    <w:p>
      <w:pPr>
        <w:pStyle w:val="Heading1"/>
      </w:pPr>
      <w:r>
        <w:t>Purpose</w:t>
      </w:r>
    </w:p>
    <w:p>
      <w:r>
        <w:t>The torque specification for compressor mounting bolts is revised. Refer to the service manual for the revised figures. This bulletin is advisory and does not vary the warranty position of any asset, and does not extend coverage of the compressor or any other component.</w:t>
      </w:r>
    </w:p>
    <w:p>
      <w:pPr>
        <w:pStyle w:val="Heading1"/>
      </w:pPr>
      <w:r>
        <w:t>Claim handling</w:t>
      </w:r>
    </w:p>
    <w:p>
      <w:r>
        <w:t>No change to claim handling arises from this bulletin.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