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Technical Service Bulletin TSB-P-0107</w:t>
      </w:r>
    </w:p>
    <w:p>
      <w:pPr>
        <w:jc w:val="left"/>
      </w:pPr>
      <w:r>
        <w:rPr>
          <w:i/>
        </w:rPr>
        <w:t>Extended coverage - 2200-series valve plate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Bulletin reference</w:t>
            </w:r>
          </w:p>
        </w:tc>
        <w:tc>
          <w:tcPr>
            <w:tcW w:type="dxa" w:w="4320"/>
          </w:tcPr>
          <w:p>
            <w:r>
              <w:t>TSB-P-0107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from</w:t>
            </w:r>
          </w:p>
        </w:tc>
        <w:tc>
          <w:tcPr>
            <w:tcW w:type="dxa" w:w="4320"/>
          </w:tcPr>
          <w:p>
            <w:r>
              <w:t>2025-06-03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family</w:t>
            </w:r>
          </w:p>
        </w:tc>
        <w:tc>
          <w:tcPr>
            <w:tcW w:type="dxa" w:w="4320"/>
          </w:tcPr>
          <w:p>
            <w:r>
              <w:t>2200-series air compressor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range</w:t>
            </w:r>
          </w:p>
        </w:tc>
        <w:tc>
          <w:tcPr>
            <w:tcW w:type="dxa" w:w="4320"/>
          </w:tcPr>
          <w:p>
            <w:r>
              <w:t>CIE-2200-AC-00400 to CIE-2200-AC-00900 inclusive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SUPERSEDED by TSB-P-0112 — this bulletin has no effect</w:t>
            </w:r>
          </w:p>
        </w:tc>
      </w:tr>
    </w:tbl>
    <w:p/>
    <w:p>
      <w:r>
        <w:rPr>
          <w:b/>
        </w:rPr>
        <w:t>This bulletin has been superseded by TSB-P-0112 and has no effect. It remains published for reference only. Do not adjudicate against it.</w:t>
      </w:r>
    </w:p>
    <w:p/>
    <w:p>
      <w:pPr>
        <w:pStyle w:val="Heading1"/>
      </w:pPr>
      <w:r>
        <w:t>Purpose</w:t>
      </w:r>
    </w:p>
    <w:p>
      <w:r>
        <w:t>Elevated failure rates have been observed on the valve plate of affected units. Coverage is extended as set out below.</w:t>
      </w:r>
    </w:p>
    <w:p>
      <w:pPr>
        <w:pStyle w:val="Heading1"/>
      </w:pPr>
      <w:r>
        <w:t>Effect on warranty</w:t>
      </w:r>
    </w:p>
    <w:p>
      <w:r>
        <w:t>For assets within the serial range named above, coverage of the valve plate is extended to 30 months from the date of commissioning.</w:t>
      </w:r>
    </w:p>
    <w:p>
      <w:r>
        <w:t>This bulletin names a serial range and therefore takes precedence over the regional addendum and the Global Warranty Policy, in accordance with clause 1.4 of that policy.</w:t>
      </w:r>
    </w:p>
    <w:p>
      <w:pPr>
        <w:pStyle w:val="Heading1"/>
      </w:pPr>
      <w:r>
        <w:t>Claim handling</w:t>
      </w:r>
    </w:p>
    <w:p>
      <w:r>
        <w:t>No change to claim handling arises from this bulletin.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