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Service Partner Agreement</w:t>
      </w:r>
    </w:p>
    <w:p>
      <w:pPr>
        <w:jc w:val="left"/>
      </w:pPr>
      <w:r>
        <w:rPr>
          <w:i/>
        </w:rPr>
        <w:t>Fabrikam Service Partners — SPA-2023-FAB-IN</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Agreement reference</w:t>
            </w:r>
          </w:p>
        </w:tc>
        <w:tc>
          <w:tcPr>
            <w:tcW w:type="dxa" w:w="4320"/>
          </w:tcPr>
          <w:p>
            <w:r>
              <w:t>SPA-2023-FAB-IN</w:t>
            </w:r>
          </w:p>
        </w:tc>
      </w:tr>
      <w:tr>
        <w:tc>
          <w:tcPr>
            <w:tcW w:type="dxa" w:w="4320"/>
          </w:tcPr>
          <w:p>
            <w:r>
              <w:rPr>
                <w:b/>
              </w:rPr>
              <w:t>Partner</w:t>
            </w:r>
          </w:p>
        </w:tc>
        <w:tc>
          <w:tcPr>
            <w:tcW w:type="dxa" w:w="4320"/>
          </w:tcPr>
          <w:p>
            <w:r>
              <w:t>Fabrikam Service Partners</w:t>
            </w:r>
          </w:p>
        </w:tc>
      </w:tr>
      <w:tr>
        <w:tc>
          <w:tcPr>
            <w:tcW w:type="dxa" w:w="4320"/>
          </w:tcPr>
          <w:p>
            <w:r>
              <w:rPr>
                <w:b/>
              </w:rPr>
              <w:t>Partner code</w:t>
            </w:r>
          </w:p>
        </w:tc>
        <w:tc>
          <w:tcPr>
            <w:tcW w:type="dxa" w:w="4320"/>
          </w:tcPr>
          <w:p>
            <w:r>
              <w:t>D-IN-01</w:t>
            </w:r>
          </w:p>
        </w:tc>
      </w:tr>
      <w:tr>
        <w:tc>
          <w:tcPr>
            <w:tcW w:type="dxa" w:w="4320"/>
          </w:tcPr>
          <w:p>
            <w:r>
              <w:rPr>
                <w:b/>
              </w:rPr>
              <w:t>Territory</w:t>
            </w:r>
          </w:p>
        </w:tc>
        <w:tc>
          <w:tcPr>
            <w:tcW w:type="dxa" w:w="4320"/>
          </w:tcPr>
          <w:p>
            <w:r>
              <w:t>India</w:t>
            </w:r>
          </w:p>
        </w:tc>
      </w:tr>
      <w:tr>
        <w:tc>
          <w:tcPr>
            <w:tcW w:type="dxa" w:w="4320"/>
          </w:tcPr>
          <w:p>
            <w:r>
              <w:rPr>
                <w:b/>
              </w:rPr>
              <w:t>Settlement currency</w:t>
            </w:r>
          </w:p>
        </w:tc>
        <w:tc>
          <w:tcPr>
            <w:tcW w:type="dxa" w:w="4320"/>
          </w:tcPr>
          <w:p>
            <w:r>
              <w:t>INR</w:t>
            </w:r>
          </w:p>
        </w:tc>
      </w:tr>
    </w:tbl>
    <w:p/>
    <w:p>
      <w:pPr>
        <w:pStyle w:val="Heading1"/>
      </w:pPr>
      <w:r>
        <w:t>1. Appointment</w:t>
      </w:r>
    </w:p>
    <w:p>
      <w:r>
        <w:t>Contoso Industrial appoints Fabrikam Service Partners as an authorised service partner for the territory named above, to carry out warranty repairs on Contoso Industrial equipment and to submit claims in accordance with the Global Warranty Policy.</w:t>
      </w:r>
    </w:p>
    <w:p>
      <w:pPr>
        <w:pStyle w:val="Heading1"/>
      </w:pPr>
      <w:r>
        <w:t>2. Claim submission</w:t>
      </w:r>
    </w:p>
    <w:p>
      <w:r>
        <w:t>A claim is submitted within 30 days of the date of repair, giving the part number actually fitted and attaching the inspection report where one was raised. Contoso Industrial adjudicates the claim from the claim-system record, taking running hours from the latest reading held at or before the date of repair. An inspection report matters where an exclusion depends on it; a missing report does not of itself hold a claim.</w:t>
      </w:r>
    </w:p>
    <w:p>
      <w:pPr>
        <w:pStyle w:val="Heading1"/>
      </w:pPr>
      <w:r>
        <w:t>3. Labour</w:t>
      </w:r>
    </w:p>
    <w:p>
      <w:r>
        <w:t>Labour is reimbursed at the flat-rate allowance published for the operation code, at the regional labour rate in force on the date of repair, in accordance with clause 4.1 of the Global Warranty Policy.</w:t>
      </w:r>
    </w:p>
    <w:p>
      <w:pPr>
        <w:pStyle w:val="Heading1"/>
      </w:pPr>
      <w:r>
        <w:t>6. Parts and handling</w:t>
      </w:r>
    </w:p>
    <w:p>
      <w:r>
        <w:t>Parts are reimbursed at the published list price for the territory, for the part actually fitted.</w:t>
      </w:r>
    </w:p>
    <w:p>
      <w:r>
        <w:t>No handling uplift is payable under this agreement. Parts are reimbursed at list price without addition.</w:t>
      </w:r>
    </w:p>
    <w:p>
      <w:pPr>
        <w:pStyle w:val="Heading1"/>
      </w:pPr>
      <w:r>
        <w:t>9. Term</w:t>
      </w:r>
    </w:p>
    <w:p>
      <w:r>
        <w:t>This agreement runs for three years from execution and renews annually unless either party gives ninety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