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06060"/>
          <w:sz w:val="18"/>
        </w:rPr>
        <w:t>CONTOSO INDUSTRIAL</w:t>
      </w:r>
    </w:p>
    <w:p>
      <w:pPr>
        <w:pStyle w:val="Title"/>
      </w:pPr>
      <w:r>
        <w:t>Service Partner FAQ</w:t>
      </w:r>
    </w:p>
    <w:p>
      <w:pPr>
        <w:jc w:val="left"/>
      </w:pPr>
      <w:r>
        <w:rPr>
          <w:i/>
        </w:rPr>
        <w:t>Warranty claims — frequently asked questions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t>FAQ-WAR-2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Revision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4320"/>
          </w:tcPr>
          <w:p>
            <w:r>
              <w:t>Authorised service partners</w:t>
            </w:r>
          </w:p>
        </w:tc>
      </w:tr>
    </w:tbl>
    <w:p/>
    <w:p>
      <w:pPr>
        <w:pStyle w:val="Heading2"/>
      </w:pPr>
      <w:r>
        <w:t>How long does a claim take to settle?</w:t>
      </w:r>
    </w:p>
    <w:p>
      <w:r>
        <w:t>Claims are adjudicated within ten working days of submission where the inspection report and running-hours reading are complete.</w:t>
      </w:r>
    </w:p>
    <w:p>
      <w:pPr>
        <w:pStyle w:val="Heading2"/>
      </w:pPr>
      <w:r>
        <w:t>What if the machine is just outside its coverage period?</w:t>
      </w:r>
    </w:p>
    <w:p>
      <w:r>
        <w:t>Raise the claim in the normal way. The adjudicator will consider whether a Technical Service Bulletin applies, and whether goodwill is appropriate. Goodwill requires authority at the tier set out in the Goodwill and Authority Matrix.</w:t>
      </w:r>
    </w:p>
    <w:p>
      <w:pPr>
        <w:pStyle w:val="Heading2"/>
      </w:pPr>
      <w:r>
        <w:t>Can I fit a superseded part?</w:t>
      </w:r>
    </w:p>
    <w:p>
      <w:r>
        <w:t>Order against the current part number. Where a part has been superseded, the price of the superseding part applies.</w:t>
      </w:r>
    </w:p>
    <w:p>
      <w:pPr>
        <w:pStyle w:val="Heading2"/>
      </w:pPr>
      <w:r>
        <w:t>Who do I ask about a specific claim?</w:t>
      </w:r>
    </w:p>
    <w:p>
      <w:r>
        <w:t>Post in the Field Escalations channel with the claim reference. Note that a reply in a channel is not an approval; authority is recorded in the claim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