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Aditya Birla Sun Life Flexi Cap Fund Overview</w:t>
      </w:r>
    </w:p>
    <w:p>
      <w:pPr>
        <w:pStyle w:val="Heading1"/>
      </w:pPr>
      <w:r>
        <w:t>Investment Objective</w:t>
      </w:r>
    </w:p>
    <w:p>
      <w:pPr/>
      <w:r>
        <w:t>To achieve long-term capital growth by investing in a diversified equity portfolio across large-cap, mid-cap, and small-cap stocks.</w:t>
      </w:r>
    </w:p>
    <w:p>
      <w:pPr>
        <w:pStyle w:val="Heading1"/>
      </w:pPr>
      <w:r>
        <w:t>Fund Details</w:t>
      </w:r>
    </w:p>
    <w:p>
      <w:pPr>
        <w:pStyle w:val="ListBullet"/>
      </w:pPr>
      <w:r>
        <w:t>Fund Category: Equity – Flexi Cap</w:t>
      </w:r>
    </w:p>
    <w:p>
      <w:pPr>
        <w:pStyle w:val="ListBullet"/>
      </w:pPr>
      <w:r>
        <w:t>Fund Manager: Harish Krishnan</w:t>
      </w:r>
    </w:p>
    <w:p>
      <w:pPr>
        <w:pStyle w:val="ListBullet"/>
      </w:pPr>
      <w:r>
        <w:t>Launch Date: August 27, 1998</w:t>
      </w:r>
    </w:p>
    <w:p>
      <w:pPr>
        <w:pStyle w:val="ListBullet"/>
      </w:pPr>
      <w:r>
        <w:t>Benchmark: NIFTY 500 TRI</w:t>
      </w:r>
    </w:p>
    <w:p>
      <w:pPr>
        <w:pStyle w:val="ListBullet"/>
      </w:pPr>
      <w:r>
        <w:t>AUM: ₹24,443 Crores (as on Nov 2025)</w:t>
      </w:r>
    </w:p>
    <w:p>
      <w:pPr>
        <w:pStyle w:val="ListBullet"/>
      </w:pPr>
      <w:r>
        <w:t>Expense Ratio: 1.66% (Regular Plan)</w:t>
      </w:r>
    </w:p>
    <w:p>
      <w:pPr>
        <w:pStyle w:val="ListBullet"/>
      </w:pPr>
      <w:r>
        <w:t>Entry Load: Nil</w:t>
      </w:r>
    </w:p>
    <w:p>
      <w:pPr>
        <w:pStyle w:val="ListBullet"/>
      </w:pPr>
      <w:r>
        <w:t>Exit Load: 1% if redeemed within 90 days; Nil after 90 days</w:t>
      </w:r>
    </w:p>
    <w:p>
      <w:pPr>
        <w:pStyle w:val="Heading1"/>
      </w:pPr>
      <w:r>
        <w:t>Minimum Investment</w:t>
      </w:r>
    </w:p>
    <w:p>
      <w:pPr>
        <w:pStyle w:val="ListBullet"/>
      </w:pPr>
      <w:r>
        <w:t>Lumpsum: ₹5,000</w:t>
      </w:r>
    </w:p>
    <w:p>
      <w:pPr>
        <w:pStyle w:val="ListBullet"/>
      </w:pPr>
      <w:r>
        <w:t>SIP: ₹1,000</w:t>
      </w:r>
    </w:p>
    <w:p>
      <w:pPr>
        <w:pStyle w:val="Heading1"/>
      </w:pPr>
      <w:r>
        <w:t>NAV (as on Nov 14, 2025)</w:t>
      </w:r>
    </w:p>
    <w:p>
      <w:pPr/>
      <w:r>
        <w:t>Regular Growth: ₹1,869.79</w:t>
      </w:r>
    </w:p>
    <w:p>
      <w:pPr>
        <w:pStyle w:val="Heading1"/>
      </w:pPr>
      <w:r>
        <w:t>Asset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Asset Class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</w:rPr>
              <w:t>Allocation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Equity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98.91%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Debt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0%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Others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1.09%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Large Cap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67.13%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Mid Cap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18.16%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Small Cap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13.63%</w:t>
            </w:r>
          </w:p>
        </w:tc>
      </w:tr>
    </w:tbl>
    <w:p>
      <w:pPr>
        <w:pStyle w:val="Heading1"/>
      </w:pPr>
      <w:r>
        <w:t>Top Holdings</w:t>
      </w:r>
    </w:p>
    <w:p>
      <w:pPr>
        <w:pStyle w:val="ListBullet"/>
      </w:pPr>
      <w:r>
        <w:t>ICICI Bank Ltd.</w:t>
      </w:r>
    </w:p>
    <w:p>
      <w:pPr>
        <w:pStyle w:val="ListBullet"/>
      </w:pPr>
      <w:r>
        <w:t>HDFC Bank Ltd.</w:t>
      </w:r>
    </w:p>
    <w:p>
      <w:pPr>
        <w:pStyle w:val="ListBullet"/>
      </w:pPr>
      <w:r>
        <w:t>Kotak Mahindra Bank Ltd.</w:t>
      </w:r>
    </w:p>
    <w:p>
      <w:pPr>
        <w:pStyle w:val="ListBullet"/>
      </w:pPr>
      <w:r>
        <w:t>Infosys Ltd.</w:t>
      </w:r>
    </w:p>
    <w:p>
      <w:pPr>
        <w:pStyle w:val="ListBullet"/>
      </w:pPr>
      <w:r>
        <w:t>Reliance Industries Ltd.</w:t>
      </w:r>
    </w:p>
    <w:p>
      <w:pPr>
        <w:pStyle w:val="Heading1"/>
      </w:pPr>
      <w:r>
        <w:t>Top Sectors</w:t>
      </w:r>
    </w:p>
    <w:p>
      <w:pPr>
        <w:pStyle w:val="ListBullet"/>
      </w:pPr>
      <w:r>
        <w:t>Financials</w:t>
      </w:r>
    </w:p>
    <w:p>
      <w:pPr>
        <w:pStyle w:val="ListBullet"/>
      </w:pPr>
      <w:r>
        <w:t>Automobile</w:t>
      </w:r>
    </w:p>
    <w:p>
      <w:pPr>
        <w:pStyle w:val="ListBullet"/>
      </w:pPr>
      <w:r>
        <w:t>Technology</w:t>
      </w:r>
    </w:p>
    <w:p>
      <w:pPr>
        <w:pStyle w:val="ListBullet"/>
      </w:pPr>
      <w:r>
        <w:t>Healthcare</w:t>
      </w:r>
    </w:p>
    <w:p>
      <w:pPr>
        <w:pStyle w:val="Heading1"/>
      </w:pPr>
      <w:r>
        <w:t>Risk &amp; Other Parameters</w:t>
      </w:r>
    </w:p>
    <w:p>
      <w:pPr>
        <w:pStyle w:val="ListBullet"/>
      </w:pPr>
      <w:r>
        <w:t>Risk Level: Very High</w:t>
      </w:r>
    </w:p>
    <w:p>
      <w:pPr>
        <w:pStyle w:val="ListBullet"/>
      </w:pPr>
      <w:r>
        <w:t>Portfolio Turnover: ~33%</w:t>
      </w:r>
    </w:p>
    <w:p>
      <w:pPr>
        <w:pStyle w:val="Heading1"/>
      </w:pPr>
      <w:r>
        <w:t>Exit Load &amp; Taxation</w:t>
      </w:r>
    </w:p>
    <w:p>
      <w:pPr>
        <w:pStyle w:val="ListBullet"/>
      </w:pPr>
      <w:r>
        <w:t>STCG: Taxed at 20% if redeemed before 1 year</w:t>
      </w:r>
    </w:p>
    <w:p>
      <w:pPr>
        <w:pStyle w:val="ListBullet"/>
      </w:pPr>
      <w:r>
        <w:t>LTCG: After 1 year, returns above ₹1.25 lakh taxed at 12.5%</w:t>
      </w:r>
    </w:p>
    <w:p>
      <w:pPr>
        <w:pStyle w:val="Heading1"/>
      </w:pPr>
      <w:r>
        <w:t>Performance Snapshot</w:t>
      </w:r>
    </w:p>
    <w:p>
      <w:pPr>
        <w:pStyle w:val="ListBullet"/>
      </w:pPr>
      <w:r>
        <w:t>1 Year: 11.76%</w:t>
      </w:r>
    </w:p>
    <w:p>
      <w:pPr>
        <w:pStyle w:val="ListBullet"/>
      </w:pPr>
      <w:r>
        <w:t>3 Years: 17.37%</w:t>
      </w:r>
    </w:p>
    <w:p>
      <w:pPr>
        <w:pStyle w:val="ListBullet"/>
      </w:pPr>
      <w:r>
        <w:t>5 Years: 18.55%</w:t>
      </w:r>
    </w:p>
    <w:p>
      <w:pPr>
        <w:pStyle w:val="ListBullet"/>
      </w:pPr>
      <w:r>
        <w:t>10 Years: 14.81%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