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Aditya Birla Sun Life Multi Asset Allocation Fund Overview</w:t>
      </w:r>
    </w:p>
    <w:p>
      <w:pPr>
        <w:pStyle w:val="Heading1"/>
      </w:pPr>
      <w:r>
        <w:t>Investment Objective</w:t>
      </w:r>
    </w:p>
    <w:p>
      <w:pPr/>
      <w:r>
        <w:t>Provide long-term capital appreciation by investing across asset classes like Equity, Debt, Commodities, and units of REITs &amp; InvITs. No guarantee of returns.</w:t>
      </w:r>
    </w:p>
    <w:p>
      <w:pPr>
        <w:pStyle w:val="Heading1"/>
      </w:pPr>
      <w:r>
        <w:t>Fund Details</w:t>
      </w:r>
    </w:p>
    <w:p>
      <w:pPr>
        <w:pStyle w:val="ListBullet"/>
      </w:pPr>
      <w:r>
        <w:t>Fund Category: Hybrid – Multi Asset Allocation</w:t>
      </w:r>
    </w:p>
    <w:p>
      <w:pPr>
        <w:pStyle w:val="ListBullet"/>
      </w:pPr>
      <w:r>
        <w:t>Fund Managers: Dhaval Gala, Bhupesh Bameta, Sachin Wankhede</w:t>
      </w:r>
    </w:p>
    <w:p>
      <w:pPr>
        <w:pStyle w:val="ListBullet"/>
      </w:pPr>
      <w:r>
        <w:t>Launch Date: January 31, 2023</w:t>
      </w:r>
    </w:p>
    <w:p>
      <w:pPr>
        <w:pStyle w:val="ListBullet"/>
      </w:pPr>
      <w:r>
        <w:t>Benchmark: 65% BSE 200 TRI + 25% CRISIL Short Term Bond Index + 5% Domestic Gold + 5% Domestic Silver</w:t>
      </w:r>
    </w:p>
    <w:p>
      <w:pPr>
        <w:pStyle w:val="ListBullet"/>
      </w:pPr>
      <w:r>
        <w:t>AUM: ₹4,692.61 Crores (as on Sep 30, 2025)</w:t>
      </w:r>
    </w:p>
    <w:p>
      <w:pPr>
        <w:pStyle w:val="ListBullet"/>
      </w:pPr>
      <w:r>
        <w:t>Expense Ratio: Regular – 1.80%, Direct – 0.55%</w:t>
      </w:r>
    </w:p>
    <w:p>
      <w:pPr>
        <w:pStyle w:val="ListBullet"/>
      </w:pPr>
      <w:r>
        <w:t>Entry Load: Nil</w:t>
      </w:r>
    </w:p>
    <w:p>
      <w:pPr>
        <w:pStyle w:val="ListBullet"/>
      </w:pPr>
      <w:r>
        <w:t>Exit Load: Up to 30% of units within 1 year – Nil; More than 30% within 1 year – 1%; After 1 year – Nil</w:t>
      </w:r>
    </w:p>
    <w:p>
      <w:pPr>
        <w:pStyle w:val="Heading1"/>
      </w:pPr>
      <w:r>
        <w:t>Minimum Investment</w:t>
      </w:r>
    </w:p>
    <w:p>
      <w:pPr>
        <w:pStyle w:val="ListBullet"/>
      </w:pPr>
      <w:r>
        <w:t>Lumpsum: ₹500</w:t>
      </w:r>
    </w:p>
    <w:p>
      <w:pPr>
        <w:pStyle w:val="ListBullet"/>
      </w:pPr>
      <w:r>
        <w:t>SIP: ₹100</w:t>
      </w:r>
    </w:p>
    <w:p>
      <w:pPr>
        <w:pStyle w:val="Heading1"/>
      </w:pPr>
      <w:r>
        <w:t>NAV (as on Sep 30, 2025)</w:t>
      </w:r>
    </w:p>
    <w:p>
      <w:pPr>
        <w:pStyle w:val="ListBullet"/>
      </w:pPr>
      <w:r>
        <w:t>Regular Growth: ₹15.1957</w:t>
      </w:r>
    </w:p>
    <w:p>
      <w:pPr>
        <w:pStyle w:val="ListBullet"/>
      </w:pPr>
      <w:r>
        <w:t>Direct Growth: ₹15.7981</w:t>
      </w:r>
    </w:p>
    <w:p>
      <w:pPr>
        <w:pStyle w:val="Heading1"/>
      </w:pPr>
      <w:r>
        <w:t>Portfolio Highlights</w:t>
      </w:r>
    </w:p>
    <w:p>
      <w:pPr>
        <w:pStyle w:val="ListBullet"/>
      </w:pPr>
      <w:r>
        <w:t>Equity &amp; ETFs: 61.50%</w:t>
      </w:r>
    </w:p>
    <w:p>
      <w:pPr>
        <w:pStyle w:val="ListBullet"/>
      </w:pPr>
      <w:r>
        <w:t>Debt: 9.23%</w:t>
      </w:r>
    </w:p>
    <w:p>
      <w:pPr>
        <w:pStyle w:val="ListBullet"/>
      </w:pPr>
      <w:r>
        <w:t>Commodities (Gold &amp; Silver ETFs): 15.90%</w:t>
      </w:r>
    </w:p>
    <w:p>
      <w:pPr>
        <w:pStyle w:val="ListBullet"/>
      </w:pPr>
      <w:r>
        <w:t>Cash &amp; Others: 7.40%</w:t>
      </w:r>
    </w:p>
    <w:p>
      <w:pPr>
        <w:pStyle w:val="ListBullet"/>
      </w:pPr>
      <w:r>
        <w:t>Top Holdings: Reliance Industries, HDFC Bank, ICICI Bank, Infosys, Bharti Airtel</w:t>
      </w:r>
    </w:p>
    <w:p>
      <w:pPr>
        <w:pStyle w:val="ListBullet"/>
      </w:pPr>
      <w:r>
        <w:t>Sector Allocation: Banks, IT, Finance, Petroleum, FMCG, Cement, Automobiles</w:t>
      </w:r>
    </w:p>
    <w:p>
      <w:pPr>
        <w:pStyle w:val="Heading1"/>
      </w:pPr>
      <w:r>
        <w:t>Risk &amp; Other Parameters</w:t>
      </w:r>
    </w:p>
    <w:p>
      <w:pPr>
        <w:pStyle w:val="ListBullet"/>
      </w:pPr>
      <w:r>
        <w:t>Risk Level: Very High</w:t>
      </w:r>
    </w:p>
    <w:p>
      <w:pPr>
        <w:pStyle w:val="ListBullet"/>
      </w:pPr>
      <w:r>
        <w:t>Modified Duration: 1.00 years</w:t>
      </w:r>
    </w:p>
    <w:p>
      <w:pPr>
        <w:pStyle w:val="ListBullet"/>
      </w:pPr>
      <w:r>
        <w:t>Yield to Maturity: 6.35%</w:t>
      </w:r>
    </w:p>
    <w:p>
      <w:pPr>
        <w:pStyle w:val="ListBullet"/>
      </w:pPr>
      <w:r>
        <w:t>Average P/E: 26.46</w:t>
      </w:r>
    </w:p>
    <w:p>
      <w:pPr>
        <w:pStyle w:val="ListBullet"/>
      </w:pPr>
      <w:r>
        <w:t>Average P/BV: 3.90</w:t>
      </w:r>
    </w:p>
    <w:p>
      <w:pPr>
        <w:pStyle w:val="Heading1"/>
      </w:pPr>
      <w:r>
        <w:t>Exit Load &amp; Taxation</w:t>
      </w:r>
    </w:p>
    <w:p>
      <w:pPr>
        <w:pStyle w:val="ListBullet"/>
      </w:pPr>
      <w:r>
        <w:t>Exit load details as above</w:t>
      </w:r>
    </w:p>
    <w:p>
      <w:pPr>
        <w:pStyle w:val="ListBullet"/>
      </w:pPr>
      <w:r>
        <w:t>Taxation: LTCG/STCG as per equity/debt norms</w:t>
      </w:r>
    </w:p>
    <w:p>
      <w:pPr>
        <w:pStyle w:val="Heading1"/>
      </w:pPr>
      <w:r>
        <w:t>Additional Info</w:t>
      </w:r>
    </w:p>
    <w:p>
      <w:pPr>
        <w:pStyle w:val="ListBullet"/>
      </w:pPr>
      <w:r>
        <w:t>IDCW options available</w:t>
      </w:r>
    </w:p>
    <w:p>
      <w:pPr>
        <w:pStyle w:val="ListBullet"/>
      </w:pPr>
      <w:r>
        <w:t>Portfolio turnover: 0.59</w:t>
      </w:r>
    </w:p>
    <w:p>
      <w:pPr>
        <w:pStyle w:val="Heading1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Fund Category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Hybrid – Multi Asset Allocation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Launch Date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January 31, 2023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Benchmark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65% BSE 200 TRI + 25% CRISIL Short Term Bond Index + 5% Domestic Gold + 5% Domestic Silver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AUM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₹4,692.61 Crores (as on Sep 30, 2025)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Expense Ratio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Regular – 1.80%, Direct – 0.55%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Minimum Investment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Lumpsum: ₹500; SIP: ₹100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NAV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Regular Growth: ₹15.1957; Direct Growth: ₹15.7981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Risk Level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Very High</w:t>
            </w:r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